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C46" w:rsidRDefault="00F67C46" w:rsidP="006C55C1">
      <w:pPr>
        <w:spacing w:line="240" w:lineRule="auto"/>
        <w:jc w:val="center"/>
        <w:rPr>
          <w:b/>
          <w:sz w:val="28"/>
          <w:szCs w:val="22"/>
        </w:rPr>
      </w:pPr>
      <w:r w:rsidRPr="009D73D8">
        <w:rPr>
          <w:b/>
          <w:sz w:val="28"/>
          <w:szCs w:val="22"/>
        </w:rPr>
        <w:t xml:space="preserve">Richtlinie </w:t>
      </w:r>
      <w:r w:rsidR="002521D2" w:rsidRPr="009D73D8">
        <w:rPr>
          <w:b/>
          <w:sz w:val="28"/>
          <w:szCs w:val="22"/>
        </w:rPr>
        <w:t>zur</w:t>
      </w:r>
      <w:r w:rsidRPr="009D73D8">
        <w:rPr>
          <w:b/>
          <w:sz w:val="28"/>
          <w:szCs w:val="22"/>
        </w:rPr>
        <w:t xml:space="preserve"> </w:t>
      </w:r>
      <w:r w:rsidR="001751C6">
        <w:rPr>
          <w:b/>
          <w:sz w:val="28"/>
          <w:szCs w:val="22"/>
        </w:rPr>
        <w:t xml:space="preserve">Sommerkino </w:t>
      </w:r>
      <w:r w:rsidRPr="009D73D8">
        <w:rPr>
          <w:b/>
          <w:sz w:val="28"/>
          <w:szCs w:val="22"/>
        </w:rPr>
        <w:t xml:space="preserve">Förderung </w:t>
      </w:r>
    </w:p>
    <w:p w:rsidR="007400DB" w:rsidRPr="009D73D8" w:rsidRDefault="007400DB" w:rsidP="006C55C1">
      <w:pPr>
        <w:spacing w:line="240" w:lineRule="auto"/>
        <w:jc w:val="center"/>
        <w:rPr>
          <w:b/>
          <w:sz w:val="28"/>
          <w:szCs w:val="22"/>
        </w:rPr>
      </w:pPr>
    </w:p>
    <w:p w:rsidR="006C55C1" w:rsidRPr="009D73D8" w:rsidRDefault="006C55C1" w:rsidP="006C55C1">
      <w:pPr>
        <w:spacing w:line="240" w:lineRule="auto"/>
        <w:jc w:val="center"/>
        <w:rPr>
          <w:b/>
          <w:szCs w:val="22"/>
        </w:rPr>
      </w:pPr>
    </w:p>
    <w:p w:rsidR="00F67C46" w:rsidRPr="009D73D8" w:rsidRDefault="00F67C46" w:rsidP="005D203C">
      <w:pPr>
        <w:pStyle w:val="Listenabsatz"/>
        <w:numPr>
          <w:ilvl w:val="0"/>
          <w:numId w:val="1"/>
        </w:numPr>
        <w:ind w:left="364"/>
        <w:rPr>
          <w:b/>
          <w:sz w:val="22"/>
          <w:szCs w:val="22"/>
        </w:rPr>
      </w:pPr>
      <w:r w:rsidRPr="009D73D8">
        <w:rPr>
          <w:b/>
          <w:sz w:val="22"/>
          <w:szCs w:val="22"/>
        </w:rPr>
        <w:t>Förderzweck:</w:t>
      </w:r>
    </w:p>
    <w:p w:rsidR="00F67C46" w:rsidRPr="009D73D8" w:rsidRDefault="00B930F5" w:rsidP="00F67C46">
      <w:pPr>
        <w:spacing w:line="240" w:lineRule="auto"/>
        <w:jc w:val="both"/>
        <w:rPr>
          <w:sz w:val="22"/>
          <w:szCs w:val="22"/>
        </w:rPr>
      </w:pPr>
      <w:r>
        <w:rPr>
          <w:sz w:val="22"/>
          <w:szCs w:val="22"/>
        </w:rPr>
        <w:t>Eine</w:t>
      </w:r>
      <w:r w:rsidR="004E466B">
        <w:rPr>
          <w:sz w:val="22"/>
          <w:szCs w:val="22"/>
        </w:rPr>
        <w:t xml:space="preserve"> nicht rückzahlbare Förderung kann beim Amt der Burgenländischen Landesregierung, Landesjugendreferat, </w:t>
      </w:r>
      <w:r>
        <w:rPr>
          <w:sz w:val="22"/>
          <w:szCs w:val="22"/>
        </w:rPr>
        <w:t xml:space="preserve">für </w:t>
      </w:r>
      <w:r w:rsidR="004E466B">
        <w:rPr>
          <w:sz w:val="22"/>
          <w:szCs w:val="22"/>
        </w:rPr>
        <w:t xml:space="preserve">ein öffentlich zugängliches und für alle </w:t>
      </w:r>
      <w:r w:rsidR="001751C6">
        <w:rPr>
          <w:sz w:val="22"/>
          <w:szCs w:val="22"/>
        </w:rPr>
        <w:t xml:space="preserve">Besucher </w:t>
      </w:r>
      <w:r w:rsidR="004E466B">
        <w:rPr>
          <w:sz w:val="22"/>
          <w:szCs w:val="22"/>
        </w:rPr>
        <w:t xml:space="preserve">kostenloses </w:t>
      </w:r>
      <w:r w:rsidR="001751C6">
        <w:rPr>
          <w:sz w:val="22"/>
          <w:szCs w:val="22"/>
        </w:rPr>
        <w:t>„</w:t>
      </w:r>
      <w:r w:rsidR="004E466B">
        <w:rPr>
          <w:sz w:val="22"/>
          <w:szCs w:val="22"/>
        </w:rPr>
        <w:t>Open Air</w:t>
      </w:r>
      <w:r w:rsidR="001751C6">
        <w:rPr>
          <w:sz w:val="22"/>
          <w:szCs w:val="22"/>
        </w:rPr>
        <w:t>“-</w:t>
      </w:r>
      <w:r w:rsidR="004E466B">
        <w:rPr>
          <w:sz w:val="22"/>
          <w:szCs w:val="22"/>
        </w:rPr>
        <w:t xml:space="preserve">Sommerkino </w:t>
      </w:r>
      <w:r w:rsidR="001D0E71">
        <w:rPr>
          <w:sz w:val="22"/>
          <w:szCs w:val="22"/>
        </w:rPr>
        <w:t>beantragt</w:t>
      </w:r>
      <w:r w:rsidR="004E466B">
        <w:rPr>
          <w:sz w:val="22"/>
          <w:szCs w:val="22"/>
        </w:rPr>
        <w:t xml:space="preserve"> werden.</w:t>
      </w:r>
      <w:r w:rsidR="003F132E">
        <w:rPr>
          <w:sz w:val="22"/>
          <w:szCs w:val="22"/>
        </w:rPr>
        <w:t xml:space="preserve"> Ziel des Förderprojektes ist es, die Jugendarbeit in den burgenländischen Gemeinden auszubauen</w:t>
      </w:r>
      <w:r w:rsidR="00A70BB3">
        <w:rPr>
          <w:sz w:val="22"/>
          <w:szCs w:val="22"/>
        </w:rPr>
        <w:t xml:space="preserve"> und </w:t>
      </w:r>
      <w:r w:rsidR="00A70BB3" w:rsidRPr="00A70BB3">
        <w:rPr>
          <w:sz w:val="22"/>
          <w:szCs w:val="22"/>
        </w:rPr>
        <w:t xml:space="preserve">das Angebot von sinnvollen Freizeitaktivitäten </w:t>
      </w:r>
      <w:r w:rsidR="00A70BB3">
        <w:rPr>
          <w:sz w:val="22"/>
          <w:szCs w:val="22"/>
        </w:rPr>
        <w:t xml:space="preserve">für junge Menschen </w:t>
      </w:r>
      <w:r w:rsidR="00A70BB3" w:rsidRPr="00A70BB3">
        <w:rPr>
          <w:sz w:val="22"/>
          <w:szCs w:val="22"/>
        </w:rPr>
        <w:t>vor Ort zu erweitern</w:t>
      </w:r>
      <w:r w:rsidR="00A70BB3">
        <w:rPr>
          <w:sz w:val="22"/>
          <w:szCs w:val="22"/>
        </w:rPr>
        <w:t>.</w:t>
      </w:r>
    </w:p>
    <w:p w:rsidR="00F10C4C" w:rsidRPr="009D73D8" w:rsidRDefault="00F10C4C" w:rsidP="005A13CD">
      <w:pPr>
        <w:spacing w:line="240" w:lineRule="auto"/>
        <w:jc w:val="both"/>
        <w:rPr>
          <w:sz w:val="22"/>
          <w:szCs w:val="22"/>
        </w:rPr>
      </w:pPr>
    </w:p>
    <w:p w:rsidR="005A13CD" w:rsidRPr="009D73D8" w:rsidRDefault="005A13CD" w:rsidP="005A13CD">
      <w:pPr>
        <w:spacing w:line="240" w:lineRule="auto"/>
        <w:jc w:val="both"/>
        <w:rPr>
          <w:sz w:val="22"/>
          <w:szCs w:val="22"/>
        </w:rPr>
      </w:pPr>
    </w:p>
    <w:p w:rsidR="00F67C46" w:rsidRPr="009D73D8" w:rsidRDefault="00F67C46" w:rsidP="00F67C46">
      <w:pPr>
        <w:pStyle w:val="Listenabsatz"/>
        <w:numPr>
          <w:ilvl w:val="0"/>
          <w:numId w:val="1"/>
        </w:numPr>
        <w:ind w:left="336"/>
        <w:jc w:val="both"/>
        <w:rPr>
          <w:b/>
          <w:sz w:val="22"/>
          <w:szCs w:val="22"/>
        </w:rPr>
      </w:pPr>
      <w:r w:rsidRPr="009D73D8">
        <w:rPr>
          <w:b/>
          <w:sz w:val="22"/>
          <w:szCs w:val="22"/>
        </w:rPr>
        <w:t>Förder</w:t>
      </w:r>
      <w:r w:rsidR="005D203C" w:rsidRPr="009D73D8">
        <w:rPr>
          <w:b/>
          <w:sz w:val="22"/>
          <w:szCs w:val="22"/>
        </w:rPr>
        <w:t>ungsvoraussetzungen</w:t>
      </w:r>
      <w:r w:rsidRPr="009D73D8">
        <w:rPr>
          <w:b/>
          <w:sz w:val="22"/>
          <w:szCs w:val="22"/>
        </w:rPr>
        <w:t>:</w:t>
      </w:r>
    </w:p>
    <w:p w:rsidR="004E466B" w:rsidRDefault="003F132E" w:rsidP="004E466B">
      <w:pPr>
        <w:pStyle w:val="Listenabsatz"/>
        <w:numPr>
          <w:ilvl w:val="0"/>
          <w:numId w:val="8"/>
        </w:numPr>
        <w:spacing w:line="240" w:lineRule="auto"/>
        <w:ind w:left="294" w:hanging="291"/>
        <w:jc w:val="both"/>
        <w:rPr>
          <w:sz w:val="22"/>
          <w:szCs w:val="22"/>
        </w:rPr>
      </w:pPr>
      <w:r>
        <w:rPr>
          <w:sz w:val="22"/>
          <w:szCs w:val="22"/>
        </w:rPr>
        <w:t>ö</w:t>
      </w:r>
      <w:r w:rsidR="004E466B">
        <w:rPr>
          <w:sz w:val="22"/>
          <w:szCs w:val="22"/>
        </w:rPr>
        <w:t>ffentlich zugängliches und für alle</w:t>
      </w:r>
      <w:r w:rsidR="001751C6">
        <w:rPr>
          <w:sz w:val="22"/>
          <w:szCs w:val="22"/>
        </w:rPr>
        <w:t xml:space="preserve"> Besucher</w:t>
      </w:r>
      <w:r w:rsidR="004E466B">
        <w:rPr>
          <w:sz w:val="22"/>
          <w:szCs w:val="22"/>
        </w:rPr>
        <w:t xml:space="preserve"> kostenloses </w:t>
      </w:r>
      <w:r w:rsidR="001751C6">
        <w:rPr>
          <w:sz w:val="22"/>
          <w:szCs w:val="22"/>
        </w:rPr>
        <w:t>„</w:t>
      </w:r>
      <w:r w:rsidR="004E466B">
        <w:rPr>
          <w:sz w:val="22"/>
          <w:szCs w:val="22"/>
        </w:rPr>
        <w:t>Open Ai</w:t>
      </w:r>
      <w:r w:rsidR="001751C6">
        <w:rPr>
          <w:sz w:val="22"/>
          <w:szCs w:val="22"/>
        </w:rPr>
        <w:t>r“-</w:t>
      </w:r>
      <w:r w:rsidR="004E466B">
        <w:rPr>
          <w:sz w:val="22"/>
          <w:szCs w:val="22"/>
        </w:rPr>
        <w:t xml:space="preserve">Sommerkino </w:t>
      </w:r>
    </w:p>
    <w:p w:rsidR="008A63AD" w:rsidRDefault="00D0794E" w:rsidP="00026636">
      <w:pPr>
        <w:pStyle w:val="Listenabsatz"/>
        <w:numPr>
          <w:ilvl w:val="0"/>
          <w:numId w:val="8"/>
        </w:numPr>
        <w:spacing w:line="240" w:lineRule="auto"/>
        <w:ind w:left="294" w:hanging="291"/>
        <w:jc w:val="both"/>
        <w:rPr>
          <w:sz w:val="22"/>
          <w:szCs w:val="22"/>
        </w:rPr>
      </w:pPr>
      <w:r>
        <w:rPr>
          <w:sz w:val="22"/>
          <w:szCs w:val="22"/>
        </w:rPr>
        <w:t>Antragssteller und Veranstalter können eine</w:t>
      </w:r>
      <w:r w:rsidR="008A63AD" w:rsidRPr="008A63AD">
        <w:rPr>
          <w:sz w:val="22"/>
          <w:szCs w:val="22"/>
        </w:rPr>
        <w:t xml:space="preserve"> burgenländi</w:t>
      </w:r>
      <w:r w:rsidR="008A63AD">
        <w:rPr>
          <w:sz w:val="22"/>
          <w:szCs w:val="22"/>
        </w:rPr>
        <w:t>s</w:t>
      </w:r>
      <w:r w:rsidR="008A63AD" w:rsidRPr="008A63AD">
        <w:rPr>
          <w:sz w:val="22"/>
          <w:szCs w:val="22"/>
        </w:rPr>
        <w:t>che</w:t>
      </w:r>
      <w:r w:rsidR="00F974FD" w:rsidRPr="008A63AD">
        <w:rPr>
          <w:sz w:val="22"/>
          <w:szCs w:val="22"/>
        </w:rPr>
        <w:t xml:space="preserve"> Gemeinde oder </w:t>
      </w:r>
      <w:r>
        <w:rPr>
          <w:sz w:val="22"/>
          <w:szCs w:val="22"/>
        </w:rPr>
        <w:t xml:space="preserve">ein burgenländischer </w:t>
      </w:r>
      <w:r w:rsidR="00F974FD" w:rsidRPr="008A63AD">
        <w:rPr>
          <w:sz w:val="22"/>
          <w:szCs w:val="22"/>
        </w:rPr>
        <w:t>Verein mit Jugendbezug</w:t>
      </w:r>
      <w:r>
        <w:rPr>
          <w:sz w:val="22"/>
          <w:szCs w:val="22"/>
        </w:rPr>
        <w:t xml:space="preserve"> sein</w:t>
      </w:r>
    </w:p>
    <w:p w:rsidR="001751C6" w:rsidRPr="008A63AD" w:rsidRDefault="004E466B" w:rsidP="00026636">
      <w:pPr>
        <w:pStyle w:val="Listenabsatz"/>
        <w:numPr>
          <w:ilvl w:val="0"/>
          <w:numId w:val="8"/>
        </w:numPr>
        <w:spacing w:line="240" w:lineRule="auto"/>
        <w:ind w:left="294" w:hanging="291"/>
        <w:jc w:val="both"/>
        <w:rPr>
          <w:sz w:val="22"/>
          <w:szCs w:val="22"/>
        </w:rPr>
      </w:pPr>
      <w:r w:rsidRPr="008A63AD">
        <w:rPr>
          <w:sz w:val="22"/>
          <w:szCs w:val="22"/>
        </w:rPr>
        <w:t xml:space="preserve">Veranstaltungsdatum im Zeitraum </w:t>
      </w:r>
      <w:r w:rsidRPr="003F132E">
        <w:rPr>
          <w:sz w:val="22"/>
          <w:szCs w:val="22"/>
        </w:rPr>
        <w:t>Juni bis September</w:t>
      </w:r>
      <w:r w:rsidRPr="008A63AD">
        <w:rPr>
          <w:sz w:val="22"/>
          <w:szCs w:val="22"/>
        </w:rPr>
        <w:t xml:space="preserve"> </w:t>
      </w:r>
    </w:p>
    <w:p w:rsidR="00F974FD" w:rsidRPr="00A70BB3" w:rsidRDefault="0040715C" w:rsidP="00D479C2">
      <w:pPr>
        <w:pStyle w:val="Listenabsatz"/>
        <w:numPr>
          <w:ilvl w:val="0"/>
          <w:numId w:val="8"/>
        </w:numPr>
        <w:spacing w:after="120" w:line="240" w:lineRule="auto"/>
        <w:ind w:left="294" w:hanging="291"/>
        <w:jc w:val="both"/>
        <w:rPr>
          <w:sz w:val="22"/>
          <w:szCs w:val="22"/>
        </w:rPr>
      </w:pPr>
      <w:r w:rsidRPr="00A70BB3">
        <w:rPr>
          <w:sz w:val="22"/>
          <w:szCs w:val="22"/>
        </w:rPr>
        <w:t xml:space="preserve">nach Möglichkeit </w:t>
      </w:r>
      <w:r w:rsidR="00F974FD" w:rsidRPr="00A70BB3">
        <w:rPr>
          <w:sz w:val="22"/>
          <w:szCs w:val="22"/>
        </w:rPr>
        <w:t>Anbring</w:t>
      </w:r>
      <w:r w:rsidR="008225C6" w:rsidRPr="00A70BB3">
        <w:rPr>
          <w:sz w:val="22"/>
          <w:szCs w:val="22"/>
        </w:rPr>
        <w:t>ung</w:t>
      </w:r>
      <w:r w:rsidR="00F974FD" w:rsidRPr="00A70BB3">
        <w:rPr>
          <w:sz w:val="22"/>
          <w:szCs w:val="22"/>
        </w:rPr>
        <w:t xml:space="preserve"> des Logos des Landesjugendreferates auf allen Ankündigungen und Drucksorten </w:t>
      </w:r>
      <w:r w:rsidR="003F132E" w:rsidRPr="00A70BB3">
        <w:rPr>
          <w:sz w:val="22"/>
          <w:szCs w:val="22"/>
        </w:rPr>
        <w:t>für</w:t>
      </w:r>
      <w:r w:rsidR="00F974FD" w:rsidRPr="00A70BB3">
        <w:rPr>
          <w:sz w:val="22"/>
          <w:szCs w:val="22"/>
        </w:rPr>
        <w:t xml:space="preserve"> das „Open Air“-Sommerkino (Logo als Download auf www.ljr.at unter Förderungen)</w:t>
      </w:r>
      <w:r w:rsidR="004734A6" w:rsidRPr="00A70BB3">
        <w:rPr>
          <w:sz w:val="22"/>
          <w:szCs w:val="22"/>
        </w:rPr>
        <w:t xml:space="preserve"> und/oder am Veranstaltungsort</w:t>
      </w:r>
    </w:p>
    <w:p w:rsidR="00D479C2" w:rsidRPr="00D479C2" w:rsidRDefault="00D479C2" w:rsidP="00D479C2">
      <w:pPr>
        <w:spacing w:line="240" w:lineRule="auto"/>
        <w:jc w:val="both"/>
        <w:rPr>
          <w:sz w:val="22"/>
          <w:szCs w:val="22"/>
        </w:rPr>
      </w:pPr>
      <w:r w:rsidRPr="00D479C2">
        <w:rPr>
          <w:sz w:val="22"/>
          <w:szCs w:val="22"/>
        </w:rPr>
        <w:t>Filme, die Abwertung von Einzelnen oder Gruppen, unter anderem aufgrund von Geschlecht, Geschlechtsidentität, sexueller Orientierung, Behinderung, ethnischer Zugehörigkeit, nationaler Herkunft oder religiöser Zugehörigkeit zum Inhalt haben, sind ausdrücklich von dieser Förderung ausgeschlossen.</w:t>
      </w:r>
    </w:p>
    <w:p w:rsidR="00F10C4C" w:rsidRPr="009D73D8" w:rsidRDefault="00F10C4C" w:rsidP="005A13CD">
      <w:pPr>
        <w:spacing w:line="240" w:lineRule="auto"/>
        <w:jc w:val="both"/>
        <w:rPr>
          <w:sz w:val="22"/>
          <w:szCs w:val="22"/>
        </w:rPr>
      </w:pPr>
    </w:p>
    <w:p w:rsidR="005A13CD" w:rsidRPr="009D73D8" w:rsidRDefault="005A13CD" w:rsidP="009D73D8">
      <w:pPr>
        <w:pStyle w:val="Listenabsatz"/>
        <w:spacing w:line="240" w:lineRule="auto"/>
        <w:ind w:left="336"/>
        <w:jc w:val="both"/>
        <w:rPr>
          <w:rFonts w:cs="Arial"/>
          <w:b/>
          <w:sz w:val="22"/>
          <w:szCs w:val="22"/>
        </w:rPr>
      </w:pPr>
    </w:p>
    <w:p w:rsidR="0061136F" w:rsidRPr="009D73D8" w:rsidRDefault="0061136F" w:rsidP="0061136F">
      <w:pPr>
        <w:pStyle w:val="Listenabsatz"/>
        <w:numPr>
          <w:ilvl w:val="0"/>
          <w:numId w:val="1"/>
        </w:numPr>
        <w:ind w:left="336"/>
        <w:jc w:val="both"/>
        <w:rPr>
          <w:rFonts w:cs="Arial"/>
          <w:b/>
          <w:sz w:val="22"/>
          <w:szCs w:val="22"/>
        </w:rPr>
      </w:pPr>
      <w:r w:rsidRPr="009D73D8">
        <w:rPr>
          <w:rFonts w:cs="Arial"/>
          <w:b/>
          <w:sz w:val="22"/>
          <w:szCs w:val="22"/>
        </w:rPr>
        <w:t>Höhe der Förderung</w:t>
      </w:r>
    </w:p>
    <w:p w:rsidR="00D479C2" w:rsidRDefault="00EE614D" w:rsidP="00D479C2">
      <w:pPr>
        <w:spacing w:line="240" w:lineRule="auto"/>
        <w:ind w:left="-24"/>
        <w:jc w:val="both"/>
        <w:rPr>
          <w:sz w:val="22"/>
          <w:szCs w:val="22"/>
        </w:rPr>
      </w:pPr>
      <w:r w:rsidRPr="001734F8">
        <w:rPr>
          <w:sz w:val="22"/>
          <w:szCs w:val="22"/>
        </w:rPr>
        <w:t>D</w:t>
      </w:r>
      <w:bookmarkStart w:id="0" w:name="_Hlk87342114"/>
      <w:r w:rsidR="00525650">
        <w:rPr>
          <w:sz w:val="22"/>
          <w:szCs w:val="22"/>
        </w:rPr>
        <w:t xml:space="preserve">as „Open Air“-Sommerkino </w:t>
      </w:r>
      <w:r w:rsidR="00525650" w:rsidRPr="00525650">
        <w:rPr>
          <w:sz w:val="22"/>
          <w:szCs w:val="22"/>
        </w:rPr>
        <w:t>wird vom Landesjugendreferat mit 50</w:t>
      </w:r>
      <w:r w:rsidR="00525650">
        <w:rPr>
          <w:sz w:val="22"/>
          <w:szCs w:val="22"/>
        </w:rPr>
        <w:t xml:space="preserve"> </w:t>
      </w:r>
      <w:r w:rsidR="00525650" w:rsidRPr="00525650">
        <w:rPr>
          <w:sz w:val="22"/>
          <w:szCs w:val="22"/>
        </w:rPr>
        <w:t>% der Kosten für Film- und Tontechnik (inkl. Auf- und Abbau)</w:t>
      </w:r>
      <w:r w:rsidR="00525650">
        <w:rPr>
          <w:sz w:val="22"/>
          <w:szCs w:val="22"/>
        </w:rPr>
        <w:t xml:space="preserve"> bzw.</w:t>
      </w:r>
      <w:r w:rsidR="00525650" w:rsidRPr="00525650">
        <w:rPr>
          <w:sz w:val="22"/>
          <w:szCs w:val="22"/>
        </w:rPr>
        <w:t xml:space="preserve"> max</w:t>
      </w:r>
      <w:r w:rsidR="00525650">
        <w:rPr>
          <w:sz w:val="22"/>
          <w:szCs w:val="22"/>
        </w:rPr>
        <w:t xml:space="preserve">imal </w:t>
      </w:r>
      <w:r w:rsidR="00525650" w:rsidRPr="00525650">
        <w:rPr>
          <w:sz w:val="22"/>
          <w:szCs w:val="22"/>
        </w:rPr>
        <w:t>€ 500,- gefördert.</w:t>
      </w:r>
      <w:r w:rsidR="00525650">
        <w:rPr>
          <w:sz w:val="22"/>
          <w:szCs w:val="22"/>
        </w:rPr>
        <w:t xml:space="preserve"> Der </w:t>
      </w:r>
      <w:r w:rsidR="00525650" w:rsidRPr="00525650">
        <w:rPr>
          <w:sz w:val="22"/>
          <w:szCs w:val="22"/>
        </w:rPr>
        <w:t xml:space="preserve">gewünschte Film </w:t>
      </w:r>
      <w:r w:rsidR="003A43FE">
        <w:rPr>
          <w:sz w:val="22"/>
          <w:szCs w:val="22"/>
        </w:rPr>
        <w:t xml:space="preserve">mit der </w:t>
      </w:r>
      <w:r w:rsidR="00525650" w:rsidRPr="00525650">
        <w:rPr>
          <w:sz w:val="22"/>
          <w:szCs w:val="22"/>
        </w:rPr>
        <w:t>dazugehörige</w:t>
      </w:r>
      <w:r w:rsidR="003A43FE">
        <w:rPr>
          <w:sz w:val="22"/>
          <w:szCs w:val="22"/>
        </w:rPr>
        <w:t>n</w:t>
      </w:r>
      <w:r w:rsidR="00525650" w:rsidRPr="00525650">
        <w:rPr>
          <w:sz w:val="22"/>
          <w:szCs w:val="22"/>
        </w:rPr>
        <w:t xml:space="preserve"> Lizenz</w:t>
      </w:r>
      <w:r w:rsidR="00525650">
        <w:rPr>
          <w:sz w:val="22"/>
          <w:szCs w:val="22"/>
        </w:rPr>
        <w:t xml:space="preserve"> ist vom Veranstalter</w:t>
      </w:r>
      <w:r w:rsidR="00525650" w:rsidRPr="00525650">
        <w:rPr>
          <w:sz w:val="22"/>
          <w:szCs w:val="22"/>
        </w:rPr>
        <w:t xml:space="preserve"> eigenständig</w:t>
      </w:r>
      <w:r w:rsidR="00525650">
        <w:rPr>
          <w:sz w:val="22"/>
          <w:szCs w:val="22"/>
        </w:rPr>
        <w:t xml:space="preserve"> zu besorgen und </w:t>
      </w:r>
      <w:r w:rsidR="003A43FE">
        <w:rPr>
          <w:sz w:val="22"/>
          <w:szCs w:val="22"/>
        </w:rPr>
        <w:t xml:space="preserve">selbst </w:t>
      </w:r>
      <w:r w:rsidR="00525650">
        <w:rPr>
          <w:sz w:val="22"/>
          <w:szCs w:val="22"/>
        </w:rPr>
        <w:t>zu finanzieren.</w:t>
      </w:r>
      <w:r w:rsidR="004D775C">
        <w:rPr>
          <w:sz w:val="22"/>
          <w:szCs w:val="22"/>
        </w:rPr>
        <w:t xml:space="preserve"> </w:t>
      </w:r>
      <w:r w:rsidR="004D775C" w:rsidRPr="004D775C">
        <w:rPr>
          <w:sz w:val="22"/>
          <w:szCs w:val="22"/>
        </w:rPr>
        <w:t>D</w:t>
      </w:r>
      <w:r w:rsidR="004D775C">
        <w:rPr>
          <w:sz w:val="22"/>
          <w:szCs w:val="22"/>
        </w:rPr>
        <w:t xml:space="preserve">ie Meldung der </w:t>
      </w:r>
      <w:r w:rsidR="004D775C" w:rsidRPr="004D775C">
        <w:rPr>
          <w:sz w:val="22"/>
          <w:szCs w:val="22"/>
        </w:rPr>
        <w:t xml:space="preserve">Veranstaltung </w:t>
      </w:r>
      <w:r w:rsidR="004D775C">
        <w:rPr>
          <w:sz w:val="22"/>
          <w:szCs w:val="22"/>
        </w:rPr>
        <w:t xml:space="preserve">hat durch die Gemeinde bzw. den Verein </w:t>
      </w:r>
      <w:r w:rsidR="004D775C" w:rsidRPr="004D775C">
        <w:rPr>
          <w:sz w:val="22"/>
          <w:szCs w:val="22"/>
        </w:rPr>
        <w:t>an die AKM</w:t>
      </w:r>
      <w:r w:rsidR="004D775C">
        <w:rPr>
          <w:sz w:val="22"/>
          <w:szCs w:val="22"/>
        </w:rPr>
        <w:t xml:space="preserve"> zu erfolgen.</w:t>
      </w:r>
    </w:p>
    <w:p w:rsidR="00525650" w:rsidRDefault="00525650" w:rsidP="00EE614D">
      <w:pPr>
        <w:spacing w:line="240" w:lineRule="auto"/>
        <w:ind w:left="-24"/>
        <w:jc w:val="both"/>
        <w:rPr>
          <w:sz w:val="22"/>
          <w:szCs w:val="22"/>
        </w:rPr>
      </w:pPr>
    </w:p>
    <w:p w:rsidR="00474F0E" w:rsidRPr="001734F8" w:rsidRDefault="00474F0E" w:rsidP="00EE614D">
      <w:pPr>
        <w:spacing w:line="240" w:lineRule="auto"/>
        <w:ind w:left="-24"/>
        <w:jc w:val="both"/>
        <w:rPr>
          <w:sz w:val="22"/>
          <w:szCs w:val="22"/>
        </w:rPr>
      </w:pPr>
    </w:p>
    <w:bookmarkEnd w:id="0"/>
    <w:p w:rsidR="005A13CD" w:rsidRPr="009D73D8" w:rsidRDefault="005A13CD" w:rsidP="005A13CD">
      <w:pPr>
        <w:pStyle w:val="Listenabsatz"/>
        <w:spacing w:line="240" w:lineRule="auto"/>
        <w:ind w:left="336"/>
        <w:jc w:val="both"/>
        <w:rPr>
          <w:b/>
          <w:sz w:val="22"/>
          <w:szCs w:val="22"/>
        </w:rPr>
      </w:pPr>
    </w:p>
    <w:p w:rsidR="005D203C" w:rsidRPr="009D73D8" w:rsidRDefault="00C47D86" w:rsidP="006C1598">
      <w:pPr>
        <w:pStyle w:val="Listenabsatz"/>
        <w:numPr>
          <w:ilvl w:val="0"/>
          <w:numId w:val="1"/>
        </w:numPr>
        <w:ind w:left="336"/>
        <w:rPr>
          <w:b/>
          <w:sz w:val="22"/>
          <w:szCs w:val="22"/>
        </w:rPr>
      </w:pPr>
      <w:r w:rsidRPr="009D73D8">
        <w:rPr>
          <w:b/>
          <w:sz w:val="22"/>
          <w:szCs w:val="22"/>
        </w:rPr>
        <w:t>Antragsstellung</w:t>
      </w:r>
    </w:p>
    <w:p w:rsidR="00194882" w:rsidRDefault="006C1598" w:rsidP="00474F0E">
      <w:pPr>
        <w:spacing w:after="120" w:line="240" w:lineRule="auto"/>
        <w:jc w:val="both"/>
        <w:rPr>
          <w:sz w:val="22"/>
          <w:szCs w:val="22"/>
        </w:rPr>
      </w:pPr>
      <w:r w:rsidRPr="009D73D8">
        <w:rPr>
          <w:sz w:val="22"/>
          <w:szCs w:val="22"/>
        </w:rPr>
        <w:t>Der Förderantrag ist</w:t>
      </w:r>
      <w:r w:rsidR="004D775C">
        <w:rPr>
          <w:sz w:val="22"/>
          <w:szCs w:val="22"/>
        </w:rPr>
        <w:t xml:space="preserve"> </w:t>
      </w:r>
      <w:r w:rsidR="004D775C" w:rsidRPr="003F132E">
        <w:rPr>
          <w:sz w:val="22"/>
          <w:szCs w:val="22"/>
        </w:rPr>
        <w:t>innerhalb desselben Jahres</w:t>
      </w:r>
      <w:r w:rsidRPr="003F132E">
        <w:rPr>
          <w:sz w:val="22"/>
          <w:szCs w:val="22"/>
        </w:rPr>
        <w:t xml:space="preserve"> </w:t>
      </w:r>
      <w:r w:rsidR="00F10C4C" w:rsidRPr="003F132E">
        <w:rPr>
          <w:sz w:val="22"/>
          <w:szCs w:val="22"/>
        </w:rPr>
        <w:t xml:space="preserve">bis spätestens </w:t>
      </w:r>
      <w:r w:rsidR="003F132E">
        <w:rPr>
          <w:sz w:val="22"/>
          <w:szCs w:val="22"/>
        </w:rPr>
        <w:t xml:space="preserve">15. </w:t>
      </w:r>
      <w:r w:rsidR="00D35317" w:rsidRPr="003F132E">
        <w:rPr>
          <w:sz w:val="22"/>
          <w:szCs w:val="22"/>
        </w:rPr>
        <w:t>November</w:t>
      </w:r>
      <w:r w:rsidR="00D35317">
        <w:rPr>
          <w:sz w:val="22"/>
          <w:szCs w:val="22"/>
        </w:rPr>
        <w:t xml:space="preserve"> </w:t>
      </w:r>
      <w:r w:rsidR="004D775C">
        <w:rPr>
          <w:sz w:val="22"/>
          <w:szCs w:val="22"/>
        </w:rPr>
        <w:t>unter Anschluss des entsprechenden Verwendungsnachweises</w:t>
      </w:r>
      <w:r w:rsidRPr="009D73D8">
        <w:rPr>
          <w:sz w:val="22"/>
          <w:szCs w:val="22"/>
        </w:rPr>
        <w:t xml:space="preserve"> </w:t>
      </w:r>
      <w:r w:rsidR="00C47D86" w:rsidRPr="009D73D8">
        <w:rPr>
          <w:sz w:val="22"/>
          <w:szCs w:val="22"/>
        </w:rPr>
        <w:t xml:space="preserve">auf der Homepage www.ljr.at (Förderungen / Förderungen des LJR / </w:t>
      </w:r>
      <w:r w:rsidR="004D775C">
        <w:rPr>
          <w:sz w:val="22"/>
          <w:szCs w:val="22"/>
        </w:rPr>
        <w:t>Sommerkino</w:t>
      </w:r>
      <w:r w:rsidR="00C47D86" w:rsidRPr="009D73D8">
        <w:rPr>
          <w:sz w:val="22"/>
          <w:szCs w:val="22"/>
        </w:rPr>
        <w:t>) zu stellen.</w:t>
      </w:r>
      <w:r w:rsidR="001734F8">
        <w:rPr>
          <w:sz w:val="22"/>
          <w:szCs w:val="22"/>
        </w:rPr>
        <w:t xml:space="preserve"> </w:t>
      </w:r>
    </w:p>
    <w:p w:rsidR="00474F0E" w:rsidRDefault="00474F0E" w:rsidP="00474F0E">
      <w:pPr>
        <w:spacing w:line="240" w:lineRule="auto"/>
        <w:jc w:val="both"/>
        <w:rPr>
          <w:sz w:val="22"/>
          <w:szCs w:val="22"/>
        </w:rPr>
      </w:pPr>
      <w:r>
        <w:rPr>
          <w:sz w:val="22"/>
          <w:szCs w:val="22"/>
        </w:rPr>
        <w:t>Ein trotz Verbesserungsersuchen der Förderstelle nicht den Vorgaben entsprechendes Förderansuchen sowie die Nichtvorlage der erforderlichen Unterlagen binnen angemessener Frist hat die Zurückweisung des Förderansuchens zur Folge.</w:t>
      </w:r>
    </w:p>
    <w:p w:rsidR="004D775C" w:rsidRPr="009D73D8" w:rsidRDefault="004D775C" w:rsidP="00C47D86">
      <w:pPr>
        <w:spacing w:line="240" w:lineRule="auto"/>
        <w:jc w:val="both"/>
        <w:rPr>
          <w:sz w:val="22"/>
          <w:szCs w:val="22"/>
        </w:rPr>
      </w:pPr>
    </w:p>
    <w:p w:rsidR="005A13CD" w:rsidRDefault="005A13CD" w:rsidP="005A13CD">
      <w:pPr>
        <w:spacing w:line="240" w:lineRule="auto"/>
        <w:jc w:val="both"/>
        <w:rPr>
          <w:rFonts w:cs="Arial"/>
          <w:sz w:val="22"/>
          <w:szCs w:val="22"/>
        </w:rPr>
      </w:pPr>
    </w:p>
    <w:p w:rsidR="00474F0E" w:rsidRPr="009D73D8" w:rsidRDefault="00474F0E" w:rsidP="005A13CD">
      <w:pPr>
        <w:spacing w:line="240" w:lineRule="auto"/>
        <w:jc w:val="both"/>
        <w:rPr>
          <w:rFonts w:cs="Arial"/>
          <w:sz w:val="22"/>
          <w:szCs w:val="22"/>
        </w:rPr>
      </w:pPr>
    </w:p>
    <w:p w:rsidR="00713FFC" w:rsidRPr="009D73D8" w:rsidRDefault="00713FFC" w:rsidP="00713FFC">
      <w:pPr>
        <w:pStyle w:val="Listenabsatz"/>
        <w:numPr>
          <w:ilvl w:val="0"/>
          <w:numId w:val="1"/>
        </w:numPr>
        <w:ind w:left="364"/>
        <w:jc w:val="both"/>
        <w:rPr>
          <w:rFonts w:cs="Arial"/>
          <w:b/>
          <w:sz w:val="22"/>
          <w:szCs w:val="22"/>
        </w:rPr>
      </w:pPr>
      <w:r w:rsidRPr="009D73D8">
        <w:rPr>
          <w:rFonts w:cs="Arial"/>
          <w:b/>
          <w:sz w:val="22"/>
          <w:szCs w:val="22"/>
        </w:rPr>
        <w:t>Verwendungsnachweis</w:t>
      </w:r>
    </w:p>
    <w:p w:rsidR="00322677" w:rsidRDefault="00322677" w:rsidP="00322677">
      <w:pPr>
        <w:spacing w:line="240" w:lineRule="auto"/>
        <w:jc w:val="both"/>
        <w:rPr>
          <w:sz w:val="22"/>
          <w:szCs w:val="22"/>
        </w:rPr>
      </w:pPr>
      <w:r w:rsidRPr="009D73D8">
        <w:rPr>
          <w:rFonts w:cs="Arial"/>
          <w:sz w:val="22"/>
          <w:szCs w:val="22"/>
        </w:rPr>
        <w:t xml:space="preserve">Die widmungsgemäße Verwendung der gewährten Fördermittel ist bei Antragsstellung durch Einreichung </w:t>
      </w:r>
      <w:r>
        <w:rPr>
          <w:rFonts w:cs="Arial"/>
          <w:sz w:val="22"/>
          <w:szCs w:val="22"/>
        </w:rPr>
        <w:t xml:space="preserve">folgender </w:t>
      </w:r>
      <w:r w:rsidRPr="009D73D8">
        <w:rPr>
          <w:rFonts w:cs="Arial"/>
          <w:sz w:val="22"/>
          <w:szCs w:val="22"/>
        </w:rPr>
        <w:t xml:space="preserve">Unterlagen </w:t>
      </w:r>
      <w:r w:rsidR="00B85F02">
        <w:rPr>
          <w:rFonts w:cs="Arial"/>
          <w:sz w:val="22"/>
          <w:szCs w:val="22"/>
        </w:rPr>
        <w:t>zu belegen</w:t>
      </w:r>
      <w:r w:rsidRPr="009D73D8">
        <w:rPr>
          <w:sz w:val="22"/>
          <w:szCs w:val="22"/>
        </w:rPr>
        <w:t xml:space="preserve"> (</w:t>
      </w:r>
      <w:r w:rsidRPr="00322677">
        <w:rPr>
          <w:sz w:val="22"/>
          <w:szCs w:val="22"/>
        </w:rPr>
        <w:t>eingescannt als</w:t>
      </w:r>
      <w:r>
        <w:rPr>
          <w:sz w:val="22"/>
          <w:szCs w:val="22"/>
        </w:rPr>
        <w:t xml:space="preserve"> </w:t>
      </w:r>
      <w:r w:rsidRPr="003F132E">
        <w:rPr>
          <w:sz w:val="22"/>
          <w:szCs w:val="22"/>
        </w:rPr>
        <w:t>Upload im Online-Förderantrag</w:t>
      </w:r>
      <w:r w:rsidRPr="009D73D8">
        <w:rPr>
          <w:sz w:val="22"/>
          <w:szCs w:val="22"/>
        </w:rPr>
        <w:t xml:space="preserve"> auf </w:t>
      </w:r>
      <w:hyperlink r:id="rId7" w:history="1">
        <w:r w:rsidRPr="009D73D8">
          <w:rPr>
            <w:rStyle w:val="Hyperlink"/>
            <w:color w:val="auto"/>
            <w:sz w:val="22"/>
            <w:szCs w:val="22"/>
          </w:rPr>
          <w:t>www.ljr.at</w:t>
        </w:r>
      </w:hyperlink>
      <w:r w:rsidRPr="009D73D8">
        <w:rPr>
          <w:sz w:val="22"/>
          <w:szCs w:val="22"/>
        </w:rPr>
        <w:t>):</w:t>
      </w:r>
    </w:p>
    <w:p w:rsidR="00322677" w:rsidRPr="00F6507C" w:rsidRDefault="00322677" w:rsidP="00322677">
      <w:pPr>
        <w:spacing w:line="240" w:lineRule="auto"/>
        <w:jc w:val="both"/>
        <w:rPr>
          <w:rFonts w:cs="Arial"/>
          <w:sz w:val="22"/>
          <w:szCs w:val="22"/>
        </w:rPr>
      </w:pPr>
    </w:p>
    <w:p w:rsidR="00785B10" w:rsidRDefault="0078522B" w:rsidP="0092497B">
      <w:pPr>
        <w:pStyle w:val="Listenabsatz"/>
        <w:numPr>
          <w:ilvl w:val="0"/>
          <w:numId w:val="8"/>
        </w:numPr>
        <w:spacing w:line="240" w:lineRule="auto"/>
        <w:ind w:left="378" w:hanging="332"/>
        <w:rPr>
          <w:sz w:val="22"/>
          <w:szCs w:val="22"/>
        </w:rPr>
      </w:pPr>
      <w:r w:rsidRPr="0078522B">
        <w:rPr>
          <w:sz w:val="22"/>
          <w:szCs w:val="22"/>
        </w:rPr>
        <w:t>Rechnung</w:t>
      </w:r>
      <w:r w:rsidR="004D775C">
        <w:rPr>
          <w:sz w:val="22"/>
          <w:szCs w:val="22"/>
        </w:rPr>
        <w:t>(en)</w:t>
      </w:r>
      <w:r w:rsidR="00B85F02">
        <w:rPr>
          <w:sz w:val="22"/>
          <w:szCs w:val="22"/>
        </w:rPr>
        <w:t xml:space="preserve"> </w:t>
      </w:r>
      <w:r w:rsidR="00B85F02" w:rsidRPr="003F132E">
        <w:rPr>
          <w:sz w:val="22"/>
          <w:szCs w:val="22"/>
          <w:u w:val="single"/>
        </w:rPr>
        <w:t>und</w:t>
      </w:r>
      <w:r w:rsidR="00B85F02">
        <w:rPr>
          <w:sz w:val="22"/>
          <w:szCs w:val="22"/>
        </w:rPr>
        <w:t xml:space="preserve"> Zahlungsb</w:t>
      </w:r>
      <w:r w:rsidR="00FC79F8">
        <w:rPr>
          <w:sz w:val="22"/>
          <w:szCs w:val="22"/>
        </w:rPr>
        <w:t>eleg</w:t>
      </w:r>
      <w:r w:rsidR="004D775C">
        <w:rPr>
          <w:sz w:val="22"/>
          <w:szCs w:val="22"/>
        </w:rPr>
        <w:t>(e)</w:t>
      </w:r>
      <w:r w:rsidR="00B85F02">
        <w:rPr>
          <w:sz w:val="22"/>
          <w:szCs w:val="22"/>
        </w:rPr>
        <w:t xml:space="preserve"> </w:t>
      </w:r>
      <w:r w:rsidR="00231382">
        <w:rPr>
          <w:sz w:val="22"/>
          <w:szCs w:val="22"/>
        </w:rPr>
        <w:t>für</w:t>
      </w:r>
      <w:r w:rsidRPr="0078522B">
        <w:rPr>
          <w:sz w:val="22"/>
          <w:szCs w:val="22"/>
        </w:rPr>
        <w:t xml:space="preserve"> </w:t>
      </w:r>
      <w:r w:rsidR="004D775C">
        <w:rPr>
          <w:sz w:val="22"/>
          <w:szCs w:val="22"/>
        </w:rPr>
        <w:t>Film- und Tontechnik</w:t>
      </w:r>
    </w:p>
    <w:p w:rsidR="004D775C" w:rsidRDefault="004D775C" w:rsidP="0092497B">
      <w:pPr>
        <w:pStyle w:val="Listenabsatz"/>
        <w:numPr>
          <w:ilvl w:val="0"/>
          <w:numId w:val="8"/>
        </w:numPr>
        <w:spacing w:line="240" w:lineRule="auto"/>
        <w:ind w:left="378" w:hanging="332"/>
        <w:rPr>
          <w:sz w:val="22"/>
          <w:szCs w:val="22"/>
        </w:rPr>
      </w:pPr>
      <w:r>
        <w:rPr>
          <w:sz w:val="22"/>
          <w:szCs w:val="22"/>
        </w:rPr>
        <w:t>Foto</w:t>
      </w:r>
      <w:r w:rsidR="00B13651">
        <w:rPr>
          <w:sz w:val="22"/>
          <w:szCs w:val="22"/>
        </w:rPr>
        <w:t>(s)</w:t>
      </w:r>
      <w:bookmarkStart w:id="1" w:name="_GoBack"/>
      <w:bookmarkEnd w:id="1"/>
      <w:r>
        <w:rPr>
          <w:sz w:val="22"/>
          <w:szCs w:val="22"/>
        </w:rPr>
        <w:t xml:space="preserve"> der Veranstaltung (zur Veröffentlichung)</w:t>
      </w:r>
    </w:p>
    <w:p w:rsidR="004D775C" w:rsidRPr="00785B10" w:rsidRDefault="004D775C" w:rsidP="004D775C">
      <w:pPr>
        <w:pStyle w:val="Listenabsatz"/>
        <w:spacing w:line="240" w:lineRule="auto"/>
        <w:ind w:left="406"/>
        <w:rPr>
          <w:sz w:val="22"/>
          <w:szCs w:val="22"/>
        </w:rPr>
      </w:pPr>
    </w:p>
    <w:p w:rsidR="002C0D9D" w:rsidRPr="009D73D8" w:rsidRDefault="002C0D9D" w:rsidP="002C0D9D">
      <w:pPr>
        <w:pStyle w:val="Listenabsatz"/>
        <w:numPr>
          <w:ilvl w:val="0"/>
          <w:numId w:val="1"/>
        </w:numPr>
        <w:ind w:left="336"/>
        <w:rPr>
          <w:b/>
          <w:sz w:val="22"/>
          <w:szCs w:val="22"/>
        </w:rPr>
      </w:pPr>
      <w:r w:rsidRPr="009D73D8">
        <w:rPr>
          <w:b/>
          <w:sz w:val="22"/>
          <w:szCs w:val="22"/>
        </w:rPr>
        <w:lastRenderedPageBreak/>
        <w:t>Rechtsanspruch und Rückerstattung</w:t>
      </w:r>
    </w:p>
    <w:p w:rsidR="002C0D9D" w:rsidRDefault="002C0D9D" w:rsidP="002C0D9D">
      <w:pPr>
        <w:spacing w:line="240" w:lineRule="auto"/>
        <w:jc w:val="both"/>
        <w:rPr>
          <w:sz w:val="22"/>
          <w:szCs w:val="22"/>
        </w:rPr>
      </w:pPr>
      <w:r w:rsidRPr="009D73D8">
        <w:rPr>
          <w:sz w:val="22"/>
          <w:szCs w:val="22"/>
        </w:rPr>
        <w:t xml:space="preserve">Die Förderungsmaßnahme </w:t>
      </w:r>
      <w:r w:rsidR="00322677">
        <w:rPr>
          <w:sz w:val="22"/>
          <w:szCs w:val="22"/>
        </w:rPr>
        <w:t xml:space="preserve">nach dieser Richtlinie </w:t>
      </w:r>
      <w:r w:rsidRPr="009D73D8">
        <w:rPr>
          <w:sz w:val="22"/>
          <w:szCs w:val="22"/>
        </w:rPr>
        <w:t>komm</w:t>
      </w:r>
      <w:r w:rsidR="00322677">
        <w:rPr>
          <w:sz w:val="22"/>
          <w:szCs w:val="22"/>
        </w:rPr>
        <w:t>t</w:t>
      </w:r>
      <w:r w:rsidRPr="009D73D8">
        <w:rPr>
          <w:sz w:val="22"/>
          <w:szCs w:val="22"/>
        </w:rPr>
        <w:t xml:space="preserve"> nach Maßgabe der vorhandenen finanziellen Mittel in Betracht. Ein Rechtsanspruch auf die Gewährung </w:t>
      </w:r>
      <w:r w:rsidR="007400DB">
        <w:rPr>
          <w:sz w:val="22"/>
          <w:szCs w:val="22"/>
        </w:rPr>
        <w:t>der</w:t>
      </w:r>
      <w:r w:rsidRPr="009D73D8">
        <w:rPr>
          <w:sz w:val="22"/>
          <w:szCs w:val="22"/>
        </w:rPr>
        <w:t xml:space="preserve"> Förderung besteht nicht.</w:t>
      </w:r>
      <w:r w:rsidR="005A13CD" w:rsidRPr="009D73D8">
        <w:rPr>
          <w:sz w:val="22"/>
          <w:szCs w:val="22"/>
        </w:rPr>
        <w:t xml:space="preserve"> </w:t>
      </w:r>
      <w:r w:rsidRPr="009D73D8">
        <w:rPr>
          <w:sz w:val="22"/>
          <w:szCs w:val="22"/>
        </w:rPr>
        <w:t>Eine zu Unrecht bezogene oder nachweislich widmungswidrig verwendete Förderung ist zurück zu erstatten.</w:t>
      </w:r>
      <w:r w:rsidR="006C55C1" w:rsidRPr="009D73D8">
        <w:rPr>
          <w:sz w:val="22"/>
          <w:szCs w:val="22"/>
        </w:rPr>
        <w:t xml:space="preserve"> </w:t>
      </w:r>
    </w:p>
    <w:p w:rsidR="00862837" w:rsidRDefault="00862837" w:rsidP="002C0D9D">
      <w:pPr>
        <w:spacing w:line="240" w:lineRule="auto"/>
        <w:jc w:val="both"/>
        <w:rPr>
          <w:sz w:val="22"/>
          <w:szCs w:val="22"/>
        </w:rPr>
      </w:pPr>
    </w:p>
    <w:p w:rsidR="00862837" w:rsidRDefault="00862837" w:rsidP="002C0D9D">
      <w:pPr>
        <w:spacing w:line="240" w:lineRule="auto"/>
        <w:jc w:val="both"/>
        <w:rPr>
          <w:sz w:val="22"/>
          <w:szCs w:val="22"/>
        </w:rPr>
      </w:pPr>
    </w:p>
    <w:p w:rsidR="00474F0E" w:rsidRDefault="00474F0E" w:rsidP="002C0D9D">
      <w:pPr>
        <w:spacing w:line="240" w:lineRule="auto"/>
        <w:jc w:val="both"/>
        <w:rPr>
          <w:sz w:val="22"/>
          <w:szCs w:val="22"/>
        </w:rPr>
      </w:pPr>
    </w:p>
    <w:p w:rsidR="00397B8F" w:rsidRPr="009D73D8" w:rsidRDefault="00397B8F" w:rsidP="00397B8F">
      <w:pPr>
        <w:jc w:val="both"/>
        <w:rPr>
          <w:b/>
          <w:sz w:val="22"/>
          <w:szCs w:val="22"/>
        </w:rPr>
      </w:pPr>
      <w:r w:rsidRPr="009D73D8">
        <w:rPr>
          <w:b/>
          <w:sz w:val="22"/>
          <w:szCs w:val="22"/>
        </w:rPr>
        <w:t>7. Datenerfassung</w:t>
      </w:r>
    </w:p>
    <w:p w:rsidR="001B252A" w:rsidRPr="009D73D8" w:rsidRDefault="001B252A" w:rsidP="001B252A">
      <w:pPr>
        <w:autoSpaceDE w:val="0"/>
        <w:autoSpaceDN w:val="0"/>
        <w:adjustRightInd w:val="0"/>
        <w:spacing w:after="120" w:line="240" w:lineRule="auto"/>
        <w:jc w:val="both"/>
        <w:rPr>
          <w:rFonts w:cs="Arial"/>
          <w:sz w:val="22"/>
          <w:szCs w:val="22"/>
          <w:lang w:val="de-AT" w:eastAsia="de-AT"/>
        </w:rPr>
      </w:pPr>
      <w:bookmarkStart w:id="2" w:name="_Hlk83030991"/>
      <w:r w:rsidRPr="009D73D8">
        <w:rPr>
          <w:rFonts w:cs="Arial"/>
          <w:sz w:val="22"/>
          <w:szCs w:val="22"/>
          <w:lang w:val="de-AT" w:eastAsia="de-AT"/>
        </w:rPr>
        <w:t>(1) Die Förderstelle ist berechtigt,</w:t>
      </w:r>
    </w:p>
    <w:p w:rsidR="001B252A" w:rsidRPr="009D73D8" w:rsidRDefault="001B252A" w:rsidP="001B252A">
      <w:pPr>
        <w:autoSpaceDE w:val="0"/>
        <w:autoSpaceDN w:val="0"/>
        <w:adjustRightInd w:val="0"/>
        <w:spacing w:after="120" w:line="240" w:lineRule="auto"/>
        <w:ind w:left="574" w:hanging="290"/>
        <w:jc w:val="both"/>
        <w:rPr>
          <w:rFonts w:cs="Arial"/>
          <w:sz w:val="22"/>
          <w:szCs w:val="22"/>
          <w:lang w:val="de-AT" w:eastAsia="de-AT"/>
        </w:rPr>
      </w:pPr>
      <w:r w:rsidRPr="009D73D8">
        <w:rPr>
          <w:rFonts w:cs="Arial"/>
          <w:sz w:val="22"/>
          <w:szCs w:val="22"/>
          <w:lang w:val="de-AT" w:eastAsia="de-AT"/>
        </w:rPr>
        <w:t>1. die im Zusammenhang mit der Anbahnung und Abwicklung des Vertrages anfallenden personenbezogenen Daten zu verwenden, wenn dies für den Abschluss und die Abwicklung des Förderungsvertrages, für Kontrollzwecke und die Wahrnehmung der gesetzlich übertragenen Aufgaben, einschließlich für statistische Zwecke im Zusammenhang mit dem Vollzug der Förderungen, erforderlich ist;</w:t>
      </w:r>
    </w:p>
    <w:p w:rsidR="001B252A" w:rsidRPr="009D73D8" w:rsidRDefault="001B252A" w:rsidP="001B252A">
      <w:pPr>
        <w:autoSpaceDE w:val="0"/>
        <w:autoSpaceDN w:val="0"/>
        <w:adjustRightInd w:val="0"/>
        <w:spacing w:after="120" w:line="240" w:lineRule="auto"/>
        <w:ind w:left="574" w:hanging="290"/>
        <w:jc w:val="both"/>
        <w:rPr>
          <w:rFonts w:cs="Arial"/>
          <w:sz w:val="22"/>
          <w:szCs w:val="22"/>
          <w:lang w:val="de-AT" w:eastAsia="de-AT"/>
        </w:rPr>
      </w:pPr>
      <w:r w:rsidRPr="009D73D8">
        <w:rPr>
          <w:rFonts w:cs="Arial"/>
          <w:sz w:val="22"/>
          <w:szCs w:val="22"/>
          <w:lang w:val="de-AT" w:eastAsia="de-AT"/>
        </w:rPr>
        <w:t>2. die für die Beurteilung des Vorliegens der Förderungsvoraussetzungen und zur Prüfung des Verwendungsnachweises erforderlichen personenbezogenen Daten über die von der Fördernehmerin/dem Fördernehmer erteilten Auskünfte hinaus auch durch Rückfragen bei den in Betracht kommenden anderen Organen des Landes oder bei einem anderen Rechtsträger, der einschlägige Förderungen zuerkennt oder abwickelt, oder bei sonstigen Dritten zu erheben bzw. an diese zu übermitteln sowie Transparenzportalabfragen gemäß § 32 Abs. 5 TDBG 2012 durchzuführen;</w:t>
      </w:r>
    </w:p>
    <w:p w:rsidR="001B252A" w:rsidRPr="009D73D8" w:rsidRDefault="001B252A" w:rsidP="001B252A">
      <w:pPr>
        <w:autoSpaceDE w:val="0"/>
        <w:autoSpaceDN w:val="0"/>
        <w:adjustRightInd w:val="0"/>
        <w:spacing w:after="240" w:line="240" w:lineRule="auto"/>
        <w:ind w:left="574" w:hanging="290"/>
        <w:jc w:val="both"/>
        <w:rPr>
          <w:rFonts w:cs="Arial"/>
          <w:sz w:val="22"/>
          <w:szCs w:val="22"/>
          <w:lang w:val="de-AT" w:eastAsia="de-AT"/>
        </w:rPr>
      </w:pPr>
      <w:r w:rsidRPr="009D73D8">
        <w:rPr>
          <w:rFonts w:cs="Arial"/>
          <w:sz w:val="22"/>
          <w:szCs w:val="22"/>
          <w:lang w:val="de-AT" w:eastAsia="de-AT"/>
        </w:rPr>
        <w:t>3. erforderlichenfalls Daten insbesondere an Organe und Beauftragte des Landes-Rechnungshofes, des Rechnungshofes, Bundesstellen, Dienststellen der europäischen Kommission einschließlich der von diesen Stellen mit der Abwicklung von Förderungen beauftragten Institutionen weiterzugeben;</w:t>
      </w:r>
    </w:p>
    <w:p w:rsidR="001B252A" w:rsidRDefault="001B252A" w:rsidP="001B252A">
      <w:pPr>
        <w:pStyle w:val="Listenabsatz"/>
        <w:autoSpaceDE w:val="0"/>
        <w:autoSpaceDN w:val="0"/>
        <w:adjustRightInd w:val="0"/>
        <w:spacing w:line="240" w:lineRule="auto"/>
        <w:ind w:left="448" w:hanging="354"/>
        <w:jc w:val="both"/>
        <w:rPr>
          <w:rFonts w:cs="Arial"/>
          <w:sz w:val="22"/>
          <w:szCs w:val="22"/>
          <w:lang w:val="de-AT" w:eastAsia="de-AT"/>
        </w:rPr>
      </w:pPr>
      <w:r w:rsidRPr="009D73D8">
        <w:rPr>
          <w:rFonts w:cs="Arial"/>
          <w:sz w:val="22"/>
          <w:szCs w:val="22"/>
          <w:lang w:val="de-AT" w:eastAsia="de-AT"/>
        </w:rPr>
        <w:t>(2) Die Fördernehmerin/Der Fördernehmer hat dafür zu sorgen, dass für die übermittelten Daten Dritter die entsprechenden Einwilligungen bezüglich Daten- und Persönlichkeitsschutz eingeholt werden.</w:t>
      </w:r>
    </w:p>
    <w:p w:rsidR="007400DB" w:rsidRDefault="007400DB" w:rsidP="001B252A">
      <w:pPr>
        <w:pStyle w:val="Listenabsatz"/>
        <w:autoSpaceDE w:val="0"/>
        <w:autoSpaceDN w:val="0"/>
        <w:adjustRightInd w:val="0"/>
        <w:spacing w:line="240" w:lineRule="auto"/>
        <w:ind w:left="448" w:hanging="354"/>
        <w:jc w:val="both"/>
        <w:rPr>
          <w:b/>
          <w:sz w:val="22"/>
          <w:szCs w:val="22"/>
        </w:rPr>
      </w:pPr>
    </w:p>
    <w:p w:rsidR="007400DB" w:rsidRPr="009D73D8" w:rsidRDefault="007400DB" w:rsidP="007400DB">
      <w:pPr>
        <w:jc w:val="both"/>
        <w:rPr>
          <w:sz w:val="22"/>
          <w:szCs w:val="22"/>
        </w:rPr>
      </w:pPr>
      <w:r>
        <w:rPr>
          <w:sz w:val="22"/>
          <w:szCs w:val="22"/>
        </w:rPr>
        <w:t>Mit dem</w:t>
      </w:r>
      <w:r w:rsidRPr="009D73D8">
        <w:rPr>
          <w:sz w:val="22"/>
          <w:szCs w:val="22"/>
        </w:rPr>
        <w:t xml:space="preserve"> Ansuchen ist verbindlich zu erklären, dass</w:t>
      </w:r>
    </w:p>
    <w:p w:rsidR="007400DB" w:rsidRPr="009D73D8" w:rsidRDefault="007400DB" w:rsidP="007400DB">
      <w:pPr>
        <w:pStyle w:val="Listenabsatz"/>
        <w:numPr>
          <w:ilvl w:val="0"/>
          <w:numId w:val="7"/>
        </w:numPr>
        <w:spacing w:after="40" w:line="240" w:lineRule="auto"/>
        <w:ind w:left="1066" w:hanging="357"/>
        <w:contextualSpacing w:val="0"/>
        <w:jc w:val="both"/>
        <w:rPr>
          <w:sz w:val="22"/>
          <w:szCs w:val="22"/>
        </w:rPr>
      </w:pPr>
      <w:r w:rsidRPr="009D73D8">
        <w:rPr>
          <w:sz w:val="22"/>
          <w:szCs w:val="22"/>
        </w:rPr>
        <w:t>diese Richtlinie anerkannt wird;</w:t>
      </w:r>
    </w:p>
    <w:p w:rsidR="007400DB" w:rsidRPr="009D73D8" w:rsidRDefault="007400DB" w:rsidP="007400DB">
      <w:pPr>
        <w:pStyle w:val="Listenabsatz"/>
        <w:numPr>
          <w:ilvl w:val="0"/>
          <w:numId w:val="7"/>
        </w:numPr>
        <w:spacing w:after="40" w:line="240" w:lineRule="auto"/>
        <w:ind w:left="1066" w:hanging="357"/>
        <w:contextualSpacing w:val="0"/>
        <w:jc w:val="both"/>
        <w:rPr>
          <w:sz w:val="22"/>
          <w:szCs w:val="22"/>
        </w:rPr>
      </w:pPr>
      <w:r w:rsidRPr="009D73D8">
        <w:rPr>
          <w:sz w:val="22"/>
          <w:szCs w:val="22"/>
        </w:rPr>
        <w:t>sofern in dieser Richtlinie nicht anders definiert, die allgemeinen Förderbestimmungen des Landes zu Jugendförderungen anerkannt werden;</w:t>
      </w:r>
    </w:p>
    <w:p w:rsidR="007400DB" w:rsidRPr="009D73D8" w:rsidRDefault="007400DB" w:rsidP="007400DB">
      <w:pPr>
        <w:pStyle w:val="Listenabsatz"/>
        <w:numPr>
          <w:ilvl w:val="0"/>
          <w:numId w:val="7"/>
        </w:numPr>
        <w:spacing w:after="40" w:line="259" w:lineRule="auto"/>
        <w:jc w:val="both"/>
        <w:rPr>
          <w:sz w:val="22"/>
          <w:szCs w:val="22"/>
        </w:rPr>
      </w:pPr>
      <w:bookmarkStart w:id="3" w:name="_Hlk65572456"/>
      <w:r w:rsidRPr="009D73D8">
        <w:rPr>
          <w:sz w:val="22"/>
          <w:szCs w:val="22"/>
        </w:rPr>
        <w:t>die Bestimmungen des Datenschutzgesetzes und der Datenschutz-Grundverordnung eingehalten werden.</w:t>
      </w:r>
      <w:bookmarkEnd w:id="3"/>
    </w:p>
    <w:p w:rsidR="001B252A" w:rsidRDefault="001B252A" w:rsidP="001B252A">
      <w:pPr>
        <w:autoSpaceDE w:val="0"/>
        <w:autoSpaceDN w:val="0"/>
        <w:adjustRightInd w:val="0"/>
        <w:spacing w:line="240" w:lineRule="auto"/>
        <w:jc w:val="both"/>
        <w:rPr>
          <w:b/>
          <w:sz w:val="22"/>
          <w:szCs w:val="22"/>
        </w:rPr>
      </w:pPr>
    </w:p>
    <w:p w:rsidR="00474F0E" w:rsidRDefault="00474F0E" w:rsidP="001B252A">
      <w:pPr>
        <w:autoSpaceDE w:val="0"/>
        <w:autoSpaceDN w:val="0"/>
        <w:adjustRightInd w:val="0"/>
        <w:spacing w:line="240" w:lineRule="auto"/>
        <w:jc w:val="both"/>
        <w:rPr>
          <w:b/>
          <w:sz w:val="22"/>
          <w:szCs w:val="22"/>
        </w:rPr>
      </w:pPr>
    </w:p>
    <w:p w:rsidR="007400DB" w:rsidRPr="009D73D8" w:rsidRDefault="007400DB" w:rsidP="001B252A">
      <w:pPr>
        <w:autoSpaceDE w:val="0"/>
        <w:autoSpaceDN w:val="0"/>
        <w:adjustRightInd w:val="0"/>
        <w:spacing w:line="240" w:lineRule="auto"/>
        <w:jc w:val="both"/>
        <w:rPr>
          <w:b/>
          <w:sz w:val="22"/>
          <w:szCs w:val="22"/>
        </w:rPr>
      </w:pPr>
    </w:p>
    <w:bookmarkEnd w:id="2"/>
    <w:p w:rsidR="00397B8F" w:rsidRPr="009D73D8" w:rsidRDefault="00397B8F" w:rsidP="00C16DDA">
      <w:pPr>
        <w:pStyle w:val="Listenabsatz"/>
        <w:numPr>
          <w:ilvl w:val="0"/>
          <w:numId w:val="6"/>
        </w:numPr>
        <w:autoSpaceDE w:val="0"/>
        <w:autoSpaceDN w:val="0"/>
        <w:adjustRightInd w:val="0"/>
        <w:spacing w:line="240" w:lineRule="auto"/>
        <w:ind w:left="350"/>
        <w:rPr>
          <w:b/>
          <w:sz w:val="22"/>
          <w:szCs w:val="22"/>
        </w:rPr>
      </w:pPr>
      <w:r w:rsidRPr="009D73D8">
        <w:rPr>
          <w:b/>
          <w:sz w:val="22"/>
          <w:szCs w:val="22"/>
        </w:rPr>
        <w:t>Inkrafttreten</w:t>
      </w:r>
    </w:p>
    <w:p w:rsidR="005D203C" w:rsidRPr="009D73D8" w:rsidRDefault="00397B8F" w:rsidP="005A13CD">
      <w:pPr>
        <w:spacing w:before="120" w:line="240" w:lineRule="auto"/>
        <w:jc w:val="both"/>
        <w:rPr>
          <w:sz w:val="22"/>
          <w:szCs w:val="22"/>
        </w:rPr>
      </w:pPr>
      <w:r w:rsidRPr="009D73D8">
        <w:rPr>
          <w:sz w:val="22"/>
          <w:szCs w:val="22"/>
        </w:rPr>
        <w:t>Diese Richtlinien treten</w:t>
      </w:r>
      <w:r w:rsidR="008A2EFB" w:rsidRPr="009D73D8">
        <w:rPr>
          <w:sz w:val="22"/>
          <w:szCs w:val="22"/>
        </w:rPr>
        <w:t xml:space="preserve"> </w:t>
      </w:r>
      <w:r w:rsidRPr="009D73D8">
        <w:rPr>
          <w:sz w:val="22"/>
          <w:szCs w:val="22"/>
        </w:rPr>
        <w:t xml:space="preserve">mit </w:t>
      </w:r>
      <w:r w:rsidR="00862837">
        <w:rPr>
          <w:sz w:val="22"/>
          <w:szCs w:val="22"/>
        </w:rPr>
        <w:t>01.12.2022</w:t>
      </w:r>
      <w:r w:rsidR="00C16DDA" w:rsidRPr="009D73D8">
        <w:rPr>
          <w:sz w:val="22"/>
          <w:szCs w:val="22"/>
        </w:rPr>
        <w:t xml:space="preserve"> </w:t>
      </w:r>
      <w:r w:rsidRPr="009D73D8">
        <w:rPr>
          <w:sz w:val="22"/>
          <w:szCs w:val="22"/>
        </w:rPr>
        <w:t>in Kraft.</w:t>
      </w:r>
    </w:p>
    <w:p w:rsidR="00E5414F" w:rsidRPr="009D73D8" w:rsidRDefault="00E5414F" w:rsidP="005A13CD">
      <w:pPr>
        <w:spacing w:line="240" w:lineRule="auto"/>
        <w:jc w:val="both"/>
        <w:rPr>
          <w:sz w:val="22"/>
          <w:szCs w:val="22"/>
        </w:rPr>
      </w:pPr>
    </w:p>
    <w:p w:rsidR="00E5414F" w:rsidRPr="007400DB" w:rsidRDefault="00E5414F" w:rsidP="007400DB">
      <w:pPr>
        <w:autoSpaceDE w:val="0"/>
        <w:autoSpaceDN w:val="0"/>
        <w:adjustRightInd w:val="0"/>
        <w:rPr>
          <w:b/>
          <w:sz w:val="22"/>
          <w:szCs w:val="22"/>
        </w:rPr>
      </w:pPr>
    </w:p>
    <w:sectPr w:rsidR="00E5414F" w:rsidRPr="007400DB" w:rsidSect="00E01E73">
      <w:pgSz w:w="11906" w:h="16838"/>
      <w:pgMar w:top="1276"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6F8" w:rsidRDefault="00F546F8" w:rsidP="00F67C46">
      <w:pPr>
        <w:spacing w:line="240" w:lineRule="auto"/>
      </w:pPr>
      <w:r>
        <w:separator/>
      </w:r>
    </w:p>
  </w:endnote>
  <w:endnote w:type="continuationSeparator" w:id="0">
    <w:p w:rsidR="00F546F8" w:rsidRDefault="00F546F8" w:rsidP="00F67C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6F8" w:rsidRDefault="00F546F8" w:rsidP="00F67C46">
      <w:pPr>
        <w:spacing w:line="240" w:lineRule="auto"/>
      </w:pPr>
      <w:r>
        <w:separator/>
      </w:r>
    </w:p>
  </w:footnote>
  <w:footnote w:type="continuationSeparator" w:id="0">
    <w:p w:rsidR="00F546F8" w:rsidRDefault="00F546F8" w:rsidP="00F67C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21267"/>
    <w:multiLevelType w:val="hybridMultilevel"/>
    <w:tmpl w:val="D504882E"/>
    <w:lvl w:ilvl="0" w:tplc="33361F8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3267E8"/>
    <w:multiLevelType w:val="hybridMultilevel"/>
    <w:tmpl w:val="AD8EC000"/>
    <w:lvl w:ilvl="0" w:tplc="547ECEBC">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 w15:restartNumberingAfterBreak="0">
    <w:nsid w:val="36CB482C"/>
    <w:multiLevelType w:val="hybridMultilevel"/>
    <w:tmpl w:val="FA30D0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A495250"/>
    <w:multiLevelType w:val="hybridMultilevel"/>
    <w:tmpl w:val="F87A2A06"/>
    <w:lvl w:ilvl="0" w:tplc="0C07000F">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E7136DB"/>
    <w:multiLevelType w:val="hybridMultilevel"/>
    <w:tmpl w:val="626AD1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691657F"/>
    <w:multiLevelType w:val="hybridMultilevel"/>
    <w:tmpl w:val="F1BECA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9902D4C"/>
    <w:multiLevelType w:val="hybridMultilevel"/>
    <w:tmpl w:val="27FC78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59544D1"/>
    <w:multiLevelType w:val="hybridMultilevel"/>
    <w:tmpl w:val="B6185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3AD7D6F"/>
    <w:multiLevelType w:val="hybridMultilevel"/>
    <w:tmpl w:val="D5EC44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4"/>
  </w:num>
  <w:num w:numId="5">
    <w:abstractNumId w:val="6"/>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445"/>
    <w:rsid w:val="0000339F"/>
    <w:rsid w:val="001145B3"/>
    <w:rsid w:val="00121421"/>
    <w:rsid w:val="001734F8"/>
    <w:rsid w:val="001751C6"/>
    <w:rsid w:val="00194882"/>
    <w:rsid w:val="001B252A"/>
    <w:rsid w:val="001D0E71"/>
    <w:rsid w:val="00231382"/>
    <w:rsid w:val="00232CB4"/>
    <w:rsid w:val="002521D2"/>
    <w:rsid w:val="0026243D"/>
    <w:rsid w:val="002C0D9D"/>
    <w:rsid w:val="00302B16"/>
    <w:rsid w:val="0032082D"/>
    <w:rsid w:val="00322677"/>
    <w:rsid w:val="00353D08"/>
    <w:rsid w:val="00397B8F"/>
    <w:rsid w:val="003A3FC9"/>
    <w:rsid w:val="003A43FE"/>
    <w:rsid w:val="003F132E"/>
    <w:rsid w:val="0040715C"/>
    <w:rsid w:val="004734A6"/>
    <w:rsid w:val="00474F0E"/>
    <w:rsid w:val="004A5CDF"/>
    <w:rsid w:val="004D775C"/>
    <w:rsid w:val="004E466B"/>
    <w:rsid w:val="004F7445"/>
    <w:rsid w:val="00513B94"/>
    <w:rsid w:val="00525650"/>
    <w:rsid w:val="005A13CD"/>
    <w:rsid w:val="005A2093"/>
    <w:rsid w:val="005C1899"/>
    <w:rsid w:val="005D203C"/>
    <w:rsid w:val="0061136F"/>
    <w:rsid w:val="00626F2F"/>
    <w:rsid w:val="006C1598"/>
    <w:rsid w:val="006C55C1"/>
    <w:rsid w:val="00711711"/>
    <w:rsid w:val="00713FFC"/>
    <w:rsid w:val="007400DB"/>
    <w:rsid w:val="0078522B"/>
    <w:rsid w:val="00785B10"/>
    <w:rsid w:val="008225C6"/>
    <w:rsid w:val="00862837"/>
    <w:rsid w:val="00883616"/>
    <w:rsid w:val="008A2EFB"/>
    <w:rsid w:val="008A63AD"/>
    <w:rsid w:val="0092497B"/>
    <w:rsid w:val="00984690"/>
    <w:rsid w:val="009D73D8"/>
    <w:rsid w:val="009F76F3"/>
    <w:rsid w:val="00A70BB3"/>
    <w:rsid w:val="00A91058"/>
    <w:rsid w:val="00B13651"/>
    <w:rsid w:val="00B56C4B"/>
    <w:rsid w:val="00B85F02"/>
    <w:rsid w:val="00B930F5"/>
    <w:rsid w:val="00C01A03"/>
    <w:rsid w:val="00C16DDA"/>
    <w:rsid w:val="00C3337B"/>
    <w:rsid w:val="00C47D86"/>
    <w:rsid w:val="00C85A01"/>
    <w:rsid w:val="00C92255"/>
    <w:rsid w:val="00D0794E"/>
    <w:rsid w:val="00D35317"/>
    <w:rsid w:val="00D479C2"/>
    <w:rsid w:val="00E01E73"/>
    <w:rsid w:val="00E5414F"/>
    <w:rsid w:val="00E70F89"/>
    <w:rsid w:val="00EA4668"/>
    <w:rsid w:val="00EE614D"/>
    <w:rsid w:val="00F10C4C"/>
    <w:rsid w:val="00F2194E"/>
    <w:rsid w:val="00F546F8"/>
    <w:rsid w:val="00F67C46"/>
    <w:rsid w:val="00F9164A"/>
    <w:rsid w:val="00F974FD"/>
    <w:rsid w:val="00FA01CA"/>
    <w:rsid w:val="00FC79F8"/>
    <w:rsid w:val="00FE1E7B"/>
    <w:rsid w:val="00FF22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00758"/>
  <w15:chartTrackingRefBased/>
  <w15:docId w15:val="{6946545C-7CF6-4017-B531-A3B1ADCB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7C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67C46"/>
    <w:rPr>
      <w:rFonts w:ascii="Arial" w:hAnsi="Arial"/>
      <w:sz w:val="24"/>
      <w:lang w:val="de-DE" w:eastAsia="de-DE"/>
    </w:rPr>
  </w:style>
  <w:style w:type="paragraph" w:styleId="Fuzeile">
    <w:name w:val="footer"/>
    <w:basedOn w:val="Standard"/>
    <w:link w:val="FuzeileZchn"/>
    <w:uiPriority w:val="99"/>
    <w:unhideWhenUsed/>
    <w:rsid w:val="00F67C4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67C46"/>
    <w:rPr>
      <w:rFonts w:ascii="Arial" w:hAnsi="Arial"/>
      <w:sz w:val="24"/>
      <w:lang w:val="de-DE" w:eastAsia="de-DE"/>
    </w:rPr>
  </w:style>
  <w:style w:type="paragraph" w:customStyle="1" w:styleId="Absender2Z">
    <w:name w:val="Absender2Z"/>
    <w:aliases w:val="Abteilung"/>
    <w:basedOn w:val="Standard"/>
    <w:uiPriority w:val="19"/>
    <w:qFormat/>
    <w:rsid w:val="00F67C46"/>
    <w:pPr>
      <w:keepLines/>
      <w:spacing w:line="240" w:lineRule="auto"/>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Standard"/>
    <w:next w:val="Absender2Z"/>
    <w:uiPriority w:val="19"/>
    <w:qFormat/>
    <w:rsid w:val="00F67C46"/>
    <w:pPr>
      <w:spacing w:line="240" w:lineRule="auto"/>
      <w:jc w:val="right"/>
    </w:pPr>
    <w:rPr>
      <w:rFonts w:eastAsia="Calibri" w:cs="Arial"/>
      <w:color w:val="333333"/>
      <w:spacing w:val="20"/>
      <w:sz w:val="28"/>
      <w:szCs w:val="24"/>
      <w:lang w:val="de-AT" w:eastAsia="en-US"/>
    </w:rPr>
  </w:style>
  <w:style w:type="character" w:customStyle="1" w:styleId="fett">
    <w:name w:val="fett"/>
    <w:basedOn w:val="Absatz-Standardschriftart"/>
    <w:uiPriority w:val="9"/>
    <w:qFormat/>
    <w:rsid w:val="00F67C46"/>
    <w:rPr>
      <w:b/>
    </w:rPr>
  </w:style>
  <w:style w:type="paragraph" w:customStyle="1" w:styleId="Absender3Z">
    <w:name w:val="Absender3Z"/>
    <w:aliases w:val="HReferat"/>
    <w:uiPriority w:val="19"/>
    <w:qFormat/>
    <w:rsid w:val="00F67C46"/>
    <w:pPr>
      <w:ind w:right="170"/>
      <w:jc w:val="right"/>
    </w:pPr>
    <w:rPr>
      <w:rFonts w:ascii="Arial" w:eastAsia="Calibri" w:hAnsi="Arial" w:cs="Segoe UI"/>
      <w:color w:val="333333"/>
      <w:spacing w:val="10"/>
      <w:lang w:eastAsia="en-US"/>
    </w:rPr>
  </w:style>
  <w:style w:type="paragraph" w:styleId="Listenabsatz">
    <w:name w:val="List Paragraph"/>
    <w:basedOn w:val="Standard"/>
    <w:uiPriority w:val="34"/>
    <w:qFormat/>
    <w:rsid w:val="00F67C46"/>
    <w:pPr>
      <w:ind w:left="720"/>
      <w:contextualSpacing/>
    </w:pPr>
  </w:style>
  <w:style w:type="character" w:styleId="Hyperlink">
    <w:name w:val="Hyperlink"/>
    <w:basedOn w:val="Absatz-Standardschriftart"/>
    <w:uiPriority w:val="99"/>
    <w:unhideWhenUsed/>
    <w:rsid w:val="00C47D86"/>
    <w:rPr>
      <w:color w:val="0000FF" w:themeColor="hyperlink"/>
      <w:u w:val="single"/>
    </w:rPr>
  </w:style>
  <w:style w:type="character" w:styleId="NichtaufgelsteErwhnung">
    <w:name w:val="Unresolved Mention"/>
    <w:basedOn w:val="Absatz-Standardschriftart"/>
    <w:uiPriority w:val="99"/>
    <w:semiHidden/>
    <w:unhideWhenUsed/>
    <w:rsid w:val="00114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17815">
      <w:bodyDiv w:val="1"/>
      <w:marLeft w:val="0"/>
      <w:marRight w:val="0"/>
      <w:marTop w:val="0"/>
      <w:marBottom w:val="0"/>
      <w:divBdr>
        <w:top w:val="none" w:sz="0" w:space="0" w:color="auto"/>
        <w:left w:val="none" w:sz="0" w:space="0" w:color="auto"/>
        <w:bottom w:val="none" w:sz="0" w:space="0" w:color="auto"/>
        <w:right w:val="none" w:sz="0" w:space="0" w:color="auto"/>
      </w:divBdr>
    </w:div>
    <w:div w:id="162904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j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Radax Yvonne</dc:creator>
  <cp:keywords/>
  <dc:description/>
  <cp:lastModifiedBy>Radax Yvonne</cp:lastModifiedBy>
  <cp:revision>32</cp:revision>
  <dcterms:created xsi:type="dcterms:W3CDTF">2021-09-22T07:59:00Z</dcterms:created>
  <dcterms:modified xsi:type="dcterms:W3CDTF">2022-10-06T08:34:00Z</dcterms:modified>
</cp:coreProperties>
</file>