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98EA" w14:textId="77777777" w:rsidR="00F67C46" w:rsidRPr="00B91401" w:rsidRDefault="00F67C46" w:rsidP="006C55C1">
      <w:pPr>
        <w:spacing w:line="240" w:lineRule="auto"/>
        <w:jc w:val="center"/>
        <w:rPr>
          <w:b/>
          <w:sz w:val="28"/>
          <w:szCs w:val="22"/>
        </w:rPr>
      </w:pPr>
      <w:r w:rsidRPr="00B91401">
        <w:rPr>
          <w:b/>
          <w:sz w:val="28"/>
          <w:szCs w:val="22"/>
        </w:rPr>
        <w:t xml:space="preserve">Richtlinie </w:t>
      </w:r>
      <w:r w:rsidR="002521D2" w:rsidRPr="00B91401">
        <w:rPr>
          <w:b/>
          <w:sz w:val="28"/>
          <w:szCs w:val="22"/>
        </w:rPr>
        <w:t>zur</w:t>
      </w:r>
      <w:r w:rsidRPr="00B91401">
        <w:rPr>
          <w:b/>
          <w:sz w:val="28"/>
          <w:szCs w:val="22"/>
        </w:rPr>
        <w:t xml:space="preserve"> Förderung </w:t>
      </w:r>
      <w:r w:rsidR="002521D2" w:rsidRPr="00B91401">
        <w:rPr>
          <w:b/>
          <w:sz w:val="28"/>
          <w:szCs w:val="22"/>
        </w:rPr>
        <w:t>„</w:t>
      </w:r>
      <w:r w:rsidRPr="00B91401">
        <w:rPr>
          <w:b/>
          <w:sz w:val="28"/>
          <w:szCs w:val="22"/>
        </w:rPr>
        <w:t>Schulbesuch im Ausland</w:t>
      </w:r>
      <w:r w:rsidR="002521D2" w:rsidRPr="00B91401">
        <w:rPr>
          <w:b/>
          <w:sz w:val="28"/>
          <w:szCs w:val="22"/>
        </w:rPr>
        <w:t>“</w:t>
      </w:r>
      <w:r w:rsidRPr="00B91401">
        <w:rPr>
          <w:b/>
          <w:sz w:val="28"/>
          <w:szCs w:val="22"/>
        </w:rPr>
        <w:t xml:space="preserve"> </w:t>
      </w:r>
    </w:p>
    <w:p w14:paraId="5EEF12A9" w14:textId="77777777" w:rsidR="006C55C1" w:rsidRPr="006C55C1" w:rsidRDefault="006C55C1" w:rsidP="006C55C1">
      <w:pPr>
        <w:spacing w:line="240" w:lineRule="auto"/>
        <w:jc w:val="center"/>
        <w:rPr>
          <w:b/>
          <w:szCs w:val="22"/>
        </w:rPr>
      </w:pPr>
    </w:p>
    <w:p w14:paraId="14ABCC71" w14:textId="77777777" w:rsidR="00F67C46" w:rsidRDefault="00F67C46" w:rsidP="00F67C46">
      <w:pPr>
        <w:jc w:val="center"/>
        <w:rPr>
          <w:b/>
          <w:sz w:val="22"/>
          <w:szCs w:val="22"/>
        </w:rPr>
      </w:pPr>
    </w:p>
    <w:p w14:paraId="1DCEC5DF" w14:textId="77777777" w:rsidR="00F67C46" w:rsidRPr="00F67C46" w:rsidRDefault="00F67C46" w:rsidP="005D203C">
      <w:pPr>
        <w:pStyle w:val="Listenabsatz"/>
        <w:numPr>
          <w:ilvl w:val="0"/>
          <w:numId w:val="1"/>
        </w:numPr>
        <w:ind w:left="364"/>
        <w:rPr>
          <w:b/>
          <w:sz w:val="22"/>
          <w:szCs w:val="22"/>
        </w:rPr>
      </w:pPr>
      <w:r w:rsidRPr="00F67C46">
        <w:rPr>
          <w:b/>
          <w:sz w:val="22"/>
          <w:szCs w:val="22"/>
        </w:rPr>
        <w:t>Förderzweck</w:t>
      </w:r>
    </w:p>
    <w:p w14:paraId="2089C60B" w14:textId="77777777" w:rsidR="00F67C46" w:rsidRPr="00F67C46" w:rsidRDefault="00F67C46" w:rsidP="00F67C46">
      <w:pPr>
        <w:spacing w:line="240" w:lineRule="auto"/>
        <w:jc w:val="both"/>
        <w:rPr>
          <w:sz w:val="22"/>
          <w:szCs w:val="22"/>
        </w:rPr>
      </w:pPr>
      <w:r w:rsidRPr="00F67C46">
        <w:rPr>
          <w:sz w:val="22"/>
          <w:szCs w:val="22"/>
        </w:rPr>
        <w:t>Durch eine</w:t>
      </w:r>
      <w:r w:rsidR="005D203C">
        <w:rPr>
          <w:sz w:val="22"/>
          <w:szCs w:val="22"/>
        </w:rPr>
        <w:t xml:space="preserve"> nicht rückzahlbare</w:t>
      </w:r>
      <w:r w:rsidRPr="00F67C46">
        <w:rPr>
          <w:sz w:val="22"/>
          <w:szCs w:val="22"/>
        </w:rPr>
        <w:t xml:space="preserve"> finanzielle Unterstützung sollen zeitlich begrenzte Schulaufenthalte burgenländischer Schülerinnen und Schüler </w:t>
      </w:r>
      <w:r w:rsidR="00740783">
        <w:rPr>
          <w:sz w:val="22"/>
          <w:szCs w:val="22"/>
        </w:rPr>
        <w:t>ab der 9. Schulstufe</w:t>
      </w:r>
      <w:r w:rsidRPr="00F67C46">
        <w:rPr>
          <w:sz w:val="22"/>
          <w:szCs w:val="22"/>
        </w:rPr>
        <w:t xml:space="preserve"> im Ausland gefördert und dadurch das Bildungsangebot für junge Menschen im Burgenland erweiter</w:t>
      </w:r>
      <w:r w:rsidR="006D5DE5">
        <w:rPr>
          <w:sz w:val="22"/>
          <w:szCs w:val="22"/>
        </w:rPr>
        <w:t>t</w:t>
      </w:r>
      <w:r w:rsidRPr="00F67C46">
        <w:rPr>
          <w:sz w:val="22"/>
          <w:szCs w:val="22"/>
        </w:rPr>
        <w:t xml:space="preserve"> werden. Die Förderung soll auch einen Beitrag zur interkulturellen Bildung leisten.</w:t>
      </w:r>
    </w:p>
    <w:p w14:paraId="607F5927" w14:textId="77777777" w:rsidR="00F67C46" w:rsidRDefault="00F67C46" w:rsidP="00CD0583">
      <w:pPr>
        <w:spacing w:line="240" w:lineRule="auto"/>
        <w:jc w:val="both"/>
        <w:rPr>
          <w:sz w:val="22"/>
          <w:szCs w:val="22"/>
        </w:rPr>
      </w:pPr>
    </w:p>
    <w:p w14:paraId="108C201C" w14:textId="77777777" w:rsidR="00740783" w:rsidRDefault="00740783" w:rsidP="00CD0583">
      <w:pPr>
        <w:spacing w:line="240" w:lineRule="auto"/>
        <w:jc w:val="both"/>
        <w:rPr>
          <w:sz w:val="22"/>
          <w:szCs w:val="22"/>
        </w:rPr>
      </w:pPr>
    </w:p>
    <w:p w14:paraId="6AB89E12" w14:textId="77777777" w:rsidR="00CD0583" w:rsidRDefault="00CD0583" w:rsidP="00CD0583">
      <w:pPr>
        <w:spacing w:line="240" w:lineRule="auto"/>
        <w:jc w:val="both"/>
        <w:rPr>
          <w:sz w:val="22"/>
          <w:szCs w:val="22"/>
        </w:rPr>
      </w:pPr>
    </w:p>
    <w:p w14:paraId="479518D1" w14:textId="77777777" w:rsidR="00F67C46" w:rsidRPr="00F67C46" w:rsidRDefault="00F67C46" w:rsidP="00F67C46">
      <w:pPr>
        <w:pStyle w:val="Listenabsatz"/>
        <w:numPr>
          <w:ilvl w:val="0"/>
          <w:numId w:val="1"/>
        </w:numPr>
        <w:ind w:left="336"/>
        <w:jc w:val="both"/>
        <w:rPr>
          <w:b/>
          <w:sz w:val="22"/>
          <w:szCs w:val="22"/>
        </w:rPr>
      </w:pPr>
      <w:r w:rsidRPr="00F67C46">
        <w:rPr>
          <w:b/>
          <w:sz w:val="22"/>
          <w:szCs w:val="22"/>
        </w:rPr>
        <w:t>Förder</w:t>
      </w:r>
      <w:r w:rsidR="005D203C">
        <w:rPr>
          <w:b/>
          <w:sz w:val="22"/>
          <w:szCs w:val="22"/>
        </w:rPr>
        <w:t>ungsvoraussetzungen</w:t>
      </w:r>
    </w:p>
    <w:p w14:paraId="3DE5E291" w14:textId="77777777" w:rsidR="00740783" w:rsidRDefault="00740783" w:rsidP="0061136F">
      <w:pPr>
        <w:pStyle w:val="Listenabsatz"/>
        <w:numPr>
          <w:ilvl w:val="0"/>
          <w:numId w:val="2"/>
        </w:numPr>
        <w:spacing w:line="240" w:lineRule="auto"/>
        <w:ind w:left="280" w:hanging="304"/>
        <w:jc w:val="both"/>
        <w:rPr>
          <w:sz w:val="22"/>
          <w:szCs w:val="22"/>
        </w:rPr>
      </w:pPr>
      <w:r w:rsidRPr="00F67C46">
        <w:rPr>
          <w:sz w:val="22"/>
          <w:szCs w:val="22"/>
        </w:rPr>
        <w:t xml:space="preserve">Schülerinnen und Schüler </w:t>
      </w:r>
      <w:r>
        <w:rPr>
          <w:sz w:val="22"/>
          <w:szCs w:val="22"/>
        </w:rPr>
        <w:t>ab der 9. Schulstufe</w:t>
      </w:r>
      <w:r w:rsidRPr="00F67C46">
        <w:rPr>
          <w:sz w:val="22"/>
          <w:szCs w:val="22"/>
        </w:rPr>
        <w:t xml:space="preserve"> </w:t>
      </w:r>
    </w:p>
    <w:p w14:paraId="3731A9F2" w14:textId="77777777" w:rsidR="005D203C" w:rsidRPr="0061136F" w:rsidRDefault="005D203C" w:rsidP="0061136F">
      <w:pPr>
        <w:pStyle w:val="Listenabsatz"/>
        <w:numPr>
          <w:ilvl w:val="0"/>
          <w:numId w:val="2"/>
        </w:numPr>
        <w:spacing w:line="240" w:lineRule="auto"/>
        <w:ind w:left="280" w:hanging="304"/>
        <w:jc w:val="both"/>
        <w:rPr>
          <w:sz w:val="22"/>
          <w:szCs w:val="22"/>
        </w:rPr>
      </w:pPr>
      <w:r w:rsidRPr="0061136F">
        <w:rPr>
          <w:sz w:val="22"/>
          <w:szCs w:val="22"/>
        </w:rPr>
        <w:t xml:space="preserve">österreichische Staatsbürgerschaft bzw. </w:t>
      </w:r>
      <w:r w:rsidR="0061136F">
        <w:rPr>
          <w:sz w:val="22"/>
          <w:szCs w:val="22"/>
        </w:rPr>
        <w:t xml:space="preserve">EWR- oder </w:t>
      </w:r>
      <w:r w:rsidRPr="0061136F">
        <w:rPr>
          <w:sz w:val="22"/>
          <w:szCs w:val="22"/>
        </w:rPr>
        <w:t>EU-Staatsbürgerschaft</w:t>
      </w:r>
      <w:r w:rsidR="0061136F">
        <w:rPr>
          <w:sz w:val="22"/>
          <w:szCs w:val="22"/>
        </w:rPr>
        <w:t xml:space="preserve"> </w:t>
      </w:r>
      <w:r w:rsidR="0061136F" w:rsidRPr="0061136F">
        <w:rPr>
          <w:sz w:val="22"/>
          <w:szCs w:val="22"/>
        </w:rPr>
        <w:t>(</w:t>
      </w:r>
      <w:r w:rsidRPr="0061136F">
        <w:rPr>
          <w:sz w:val="22"/>
          <w:szCs w:val="22"/>
        </w:rPr>
        <w:t>SchülerInnen, die nicht</w:t>
      </w:r>
      <w:r w:rsidR="0061136F">
        <w:rPr>
          <w:sz w:val="22"/>
          <w:szCs w:val="22"/>
        </w:rPr>
        <w:t xml:space="preserve"> EWR- oder</w:t>
      </w:r>
      <w:r w:rsidRPr="0061136F">
        <w:rPr>
          <w:sz w:val="22"/>
          <w:szCs w:val="22"/>
        </w:rPr>
        <w:t xml:space="preserve"> EU-Bürger oder staatenlos sind und deren Eltern in Österreich durch mindestens fünf Jahre einkommensteuerpflichtig waren und in Österreich den Mittelpunkt ihrer Lebensbeziehungen hatten, werden österreichischen StaatsbürgerInnen gleichge</w:t>
      </w:r>
      <w:r w:rsidR="0061136F">
        <w:rPr>
          <w:sz w:val="22"/>
          <w:szCs w:val="22"/>
        </w:rPr>
        <w:t>stellt)</w:t>
      </w:r>
    </w:p>
    <w:p w14:paraId="07517785" w14:textId="77777777" w:rsidR="005D203C" w:rsidRPr="0061136F" w:rsidRDefault="005D203C" w:rsidP="0061136F">
      <w:pPr>
        <w:pStyle w:val="Listenabsatz"/>
        <w:numPr>
          <w:ilvl w:val="0"/>
          <w:numId w:val="2"/>
        </w:numPr>
        <w:spacing w:line="240" w:lineRule="auto"/>
        <w:ind w:left="280" w:hanging="304"/>
        <w:jc w:val="both"/>
        <w:rPr>
          <w:sz w:val="22"/>
          <w:szCs w:val="22"/>
        </w:rPr>
      </w:pPr>
      <w:r w:rsidRPr="0061136F">
        <w:rPr>
          <w:sz w:val="22"/>
          <w:szCs w:val="22"/>
        </w:rPr>
        <w:t xml:space="preserve">Hauptwohnsitz im Burgenland </w:t>
      </w:r>
    </w:p>
    <w:p w14:paraId="5B62CB2F" w14:textId="77777777" w:rsidR="005D203C" w:rsidRPr="0061136F" w:rsidRDefault="005D203C" w:rsidP="0061136F">
      <w:pPr>
        <w:pStyle w:val="Listenabsatz"/>
        <w:numPr>
          <w:ilvl w:val="0"/>
          <w:numId w:val="2"/>
        </w:numPr>
        <w:spacing w:line="240" w:lineRule="auto"/>
        <w:ind w:left="280" w:hanging="304"/>
        <w:jc w:val="both"/>
        <w:rPr>
          <w:sz w:val="22"/>
          <w:szCs w:val="22"/>
        </w:rPr>
      </w:pPr>
      <w:r w:rsidRPr="0061136F">
        <w:rPr>
          <w:sz w:val="22"/>
          <w:szCs w:val="22"/>
        </w:rPr>
        <w:t>regelmäßige Teilnahme am Unterricht einer vergleichbaren Schule im Ausland für die Dauer eines Schulhalbjahres bzw. eines Schuljahres</w:t>
      </w:r>
    </w:p>
    <w:p w14:paraId="7819A7CE" w14:textId="77777777" w:rsidR="00F67C46" w:rsidRDefault="00E01E73" w:rsidP="0061136F">
      <w:pPr>
        <w:pStyle w:val="Listenabsatz"/>
        <w:numPr>
          <w:ilvl w:val="0"/>
          <w:numId w:val="2"/>
        </w:numPr>
        <w:spacing w:line="240" w:lineRule="auto"/>
        <w:ind w:left="280" w:hanging="304"/>
        <w:jc w:val="both"/>
        <w:rPr>
          <w:sz w:val="22"/>
          <w:szCs w:val="22"/>
        </w:rPr>
      </w:pPr>
      <w:r>
        <w:rPr>
          <w:sz w:val="22"/>
          <w:szCs w:val="22"/>
        </w:rPr>
        <w:t xml:space="preserve">anrechenbares </w:t>
      </w:r>
      <w:r w:rsidR="005D203C" w:rsidRPr="0061136F">
        <w:rPr>
          <w:sz w:val="22"/>
          <w:szCs w:val="22"/>
        </w:rPr>
        <w:t>Jahresbruttoeinkommen der Eltern</w:t>
      </w:r>
      <w:r w:rsidR="002521D2">
        <w:rPr>
          <w:sz w:val="22"/>
          <w:szCs w:val="22"/>
        </w:rPr>
        <w:t>/Erziehungsberechtigten</w:t>
      </w:r>
      <w:r w:rsidR="005D203C" w:rsidRPr="0061136F">
        <w:rPr>
          <w:sz w:val="22"/>
          <w:szCs w:val="22"/>
        </w:rPr>
        <w:t xml:space="preserve"> unter de</w:t>
      </w:r>
      <w:r w:rsidR="0061136F">
        <w:rPr>
          <w:sz w:val="22"/>
          <w:szCs w:val="22"/>
        </w:rPr>
        <w:t>r</w:t>
      </w:r>
      <w:r w:rsidR="005D203C" w:rsidRPr="0061136F">
        <w:rPr>
          <w:sz w:val="22"/>
          <w:szCs w:val="22"/>
        </w:rPr>
        <w:t xml:space="preserve"> festgesetzten Einkommensgrenze (maximal </w:t>
      </w:r>
      <w:r w:rsidR="0061136F">
        <w:rPr>
          <w:sz w:val="22"/>
          <w:szCs w:val="22"/>
        </w:rPr>
        <w:t>EUR</w:t>
      </w:r>
      <w:r w:rsidR="005D203C" w:rsidRPr="0061136F">
        <w:rPr>
          <w:sz w:val="22"/>
          <w:szCs w:val="22"/>
        </w:rPr>
        <w:t xml:space="preserve"> 89.000,-) – in besonders berücksichtigungswürdigen Fällen, (wie z.B. getrennter Haushalt der Unterhaltspflichtigen, Kinderreichtum) kann über diese Höc</w:t>
      </w:r>
      <w:r w:rsidR="0061136F">
        <w:rPr>
          <w:sz w:val="22"/>
          <w:szCs w:val="22"/>
        </w:rPr>
        <w:t>hstgrenze hinausgegangen werden</w:t>
      </w:r>
    </w:p>
    <w:p w14:paraId="0B4792F5" w14:textId="77777777" w:rsidR="00785382" w:rsidRDefault="005A725C" w:rsidP="00785382">
      <w:pPr>
        <w:pStyle w:val="Listenabsatz"/>
        <w:numPr>
          <w:ilvl w:val="0"/>
          <w:numId w:val="8"/>
        </w:numPr>
        <w:spacing w:line="240" w:lineRule="auto"/>
        <w:ind w:left="294" w:hanging="291"/>
        <w:jc w:val="both"/>
        <w:rPr>
          <w:sz w:val="22"/>
          <w:szCs w:val="22"/>
        </w:rPr>
      </w:pPr>
      <w:r>
        <w:rPr>
          <w:sz w:val="22"/>
          <w:szCs w:val="22"/>
        </w:rPr>
        <w:t>a</w:t>
      </w:r>
      <w:r w:rsidR="00785382">
        <w:rPr>
          <w:sz w:val="22"/>
          <w:szCs w:val="22"/>
        </w:rPr>
        <w:t>ntragsberechtigt ist/sind der/die</w:t>
      </w:r>
      <w:r w:rsidR="00785382" w:rsidRPr="00785382">
        <w:rPr>
          <w:sz w:val="22"/>
          <w:szCs w:val="22"/>
        </w:rPr>
        <w:t xml:space="preserve"> Erziehungsberechtigte/n oder bei Volljährigkeit des/</w:t>
      </w:r>
      <w:proofErr w:type="gramStart"/>
      <w:r w:rsidR="00785382" w:rsidRPr="00785382">
        <w:rPr>
          <w:sz w:val="22"/>
          <w:szCs w:val="22"/>
        </w:rPr>
        <w:t>der Schülers</w:t>
      </w:r>
      <w:proofErr w:type="gramEnd"/>
      <w:r w:rsidR="00785382" w:rsidRPr="00785382">
        <w:rPr>
          <w:sz w:val="22"/>
          <w:szCs w:val="22"/>
        </w:rPr>
        <w:t>/Schülerin diese/</w:t>
      </w:r>
      <w:r w:rsidR="00785382">
        <w:rPr>
          <w:sz w:val="22"/>
          <w:szCs w:val="22"/>
        </w:rPr>
        <w:t>r</w:t>
      </w:r>
      <w:r w:rsidR="00785382" w:rsidRPr="00785382">
        <w:rPr>
          <w:sz w:val="22"/>
          <w:szCs w:val="22"/>
        </w:rPr>
        <w:t xml:space="preserve"> selbst</w:t>
      </w:r>
      <w:r w:rsidR="00EF70A7" w:rsidRPr="006C32D4">
        <w:rPr>
          <w:sz w:val="22"/>
          <w:szCs w:val="22"/>
        </w:rPr>
        <w:t xml:space="preserve"> </w:t>
      </w:r>
    </w:p>
    <w:p w14:paraId="53DD8410" w14:textId="77777777" w:rsidR="00EF70A7" w:rsidRPr="00785382" w:rsidRDefault="00785382" w:rsidP="00785382">
      <w:pPr>
        <w:pStyle w:val="Listenabsatz"/>
        <w:numPr>
          <w:ilvl w:val="0"/>
          <w:numId w:val="8"/>
        </w:numPr>
        <w:spacing w:line="240" w:lineRule="auto"/>
        <w:ind w:left="294" w:hanging="291"/>
        <w:jc w:val="both"/>
        <w:rPr>
          <w:sz w:val="22"/>
          <w:szCs w:val="22"/>
        </w:rPr>
      </w:pPr>
      <w:r w:rsidRPr="00EF70A7">
        <w:rPr>
          <w:sz w:val="22"/>
          <w:szCs w:val="22"/>
        </w:rPr>
        <w:t xml:space="preserve">Schüler/in </w:t>
      </w:r>
      <w:r w:rsidRPr="006C32D4">
        <w:rPr>
          <w:sz w:val="22"/>
          <w:szCs w:val="22"/>
        </w:rPr>
        <w:t>muss</w:t>
      </w:r>
      <w:r w:rsidRPr="00785382">
        <w:t xml:space="preserve"> </w:t>
      </w:r>
      <w:r w:rsidR="00EF70A7" w:rsidRPr="00785382">
        <w:rPr>
          <w:sz w:val="22"/>
          <w:szCs w:val="22"/>
        </w:rPr>
        <w:t>Besitzer/in einer „</w:t>
      </w:r>
      <w:proofErr w:type="spellStart"/>
      <w:r w:rsidR="00EF70A7" w:rsidRPr="00785382">
        <w:rPr>
          <w:sz w:val="22"/>
          <w:szCs w:val="22"/>
        </w:rPr>
        <w:t>BSpecial</w:t>
      </w:r>
      <w:proofErr w:type="spellEnd"/>
      <w:r w:rsidR="00EF70A7" w:rsidRPr="00785382">
        <w:rPr>
          <w:sz w:val="22"/>
          <w:szCs w:val="22"/>
        </w:rPr>
        <w:t xml:space="preserve">-Card“ des Landesjugendreferats sein oder diese bei Stellung des Förderantrags beantragen (www.ljr.at / </w:t>
      </w:r>
      <w:proofErr w:type="spellStart"/>
      <w:r w:rsidR="00EF70A7" w:rsidRPr="00785382">
        <w:rPr>
          <w:sz w:val="22"/>
          <w:szCs w:val="22"/>
        </w:rPr>
        <w:t>BSpecial</w:t>
      </w:r>
      <w:proofErr w:type="spellEnd"/>
      <w:r w:rsidR="00EF70A7" w:rsidRPr="00785382">
        <w:rPr>
          <w:sz w:val="22"/>
          <w:szCs w:val="22"/>
        </w:rPr>
        <w:t>-Card)</w:t>
      </w:r>
    </w:p>
    <w:p w14:paraId="74204974" w14:textId="77777777" w:rsidR="0061136F" w:rsidRDefault="0061136F" w:rsidP="00EF70A7">
      <w:pPr>
        <w:spacing w:line="240" w:lineRule="auto"/>
        <w:jc w:val="both"/>
        <w:rPr>
          <w:sz w:val="22"/>
          <w:szCs w:val="22"/>
        </w:rPr>
      </w:pPr>
    </w:p>
    <w:p w14:paraId="15AED9B5" w14:textId="77777777" w:rsidR="00740783" w:rsidRPr="00EF70A7" w:rsidRDefault="00740783" w:rsidP="00EF70A7">
      <w:pPr>
        <w:spacing w:line="240" w:lineRule="auto"/>
        <w:jc w:val="both"/>
        <w:rPr>
          <w:sz w:val="22"/>
          <w:szCs w:val="22"/>
        </w:rPr>
      </w:pPr>
    </w:p>
    <w:p w14:paraId="6FE2C440" w14:textId="77777777" w:rsidR="00CD0583" w:rsidRDefault="00CD0583" w:rsidP="00CD0583">
      <w:pPr>
        <w:spacing w:line="240" w:lineRule="auto"/>
        <w:jc w:val="both"/>
        <w:rPr>
          <w:sz w:val="22"/>
          <w:szCs w:val="22"/>
        </w:rPr>
      </w:pPr>
    </w:p>
    <w:p w14:paraId="698FC0BC" w14:textId="77777777" w:rsidR="0061136F" w:rsidRPr="0061136F" w:rsidRDefault="0061136F" w:rsidP="0061136F">
      <w:pPr>
        <w:pStyle w:val="Listenabsatz"/>
        <w:numPr>
          <w:ilvl w:val="0"/>
          <w:numId w:val="1"/>
        </w:numPr>
        <w:ind w:left="336"/>
        <w:jc w:val="both"/>
        <w:rPr>
          <w:b/>
          <w:sz w:val="22"/>
          <w:szCs w:val="22"/>
        </w:rPr>
      </w:pPr>
      <w:r w:rsidRPr="0061136F">
        <w:rPr>
          <w:b/>
          <w:sz w:val="22"/>
          <w:szCs w:val="22"/>
        </w:rPr>
        <w:t>Höhe der Förderung</w:t>
      </w:r>
      <w:r w:rsidR="00C3337B">
        <w:rPr>
          <w:b/>
          <w:sz w:val="22"/>
          <w:szCs w:val="22"/>
        </w:rPr>
        <w:t xml:space="preserve"> und Ermittlung des anrechenbaren Jahresbruttoeinkommens</w:t>
      </w:r>
    </w:p>
    <w:p w14:paraId="4AE1E54E" w14:textId="77777777" w:rsidR="003A3FC9" w:rsidRPr="003A3FC9" w:rsidRDefault="003A3FC9" w:rsidP="003A3FC9">
      <w:pPr>
        <w:spacing w:line="240" w:lineRule="auto"/>
        <w:jc w:val="both"/>
        <w:rPr>
          <w:sz w:val="22"/>
          <w:szCs w:val="22"/>
        </w:rPr>
      </w:pPr>
      <w:r w:rsidRPr="003A3FC9">
        <w:rPr>
          <w:sz w:val="22"/>
          <w:szCs w:val="22"/>
        </w:rPr>
        <w:t>Die Höhe der Förderung von zeitlich begrenzten Schul</w:t>
      </w:r>
      <w:r>
        <w:rPr>
          <w:sz w:val="22"/>
          <w:szCs w:val="22"/>
        </w:rPr>
        <w:t>besuchen</w:t>
      </w:r>
      <w:r w:rsidRPr="003A3FC9">
        <w:rPr>
          <w:sz w:val="22"/>
          <w:szCs w:val="22"/>
        </w:rPr>
        <w:t xml:space="preserve"> burgenländischer Schülerinnen und Schüler mittlerer und höherer Schulen im Ausland ist sozial gestaffelt und liegt zwischen EUR 600 und EUR 1.750 pro Schulhalbjahr.</w:t>
      </w:r>
      <w:r w:rsidR="006C55C1">
        <w:rPr>
          <w:sz w:val="22"/>
          <w:szCs w:val="22"/>
        </w:rPr>
        <w:t xml:space="preserve"> </w:t>
      </w:r>
      <w:r w:rsidRPr="003A3FC9">
        <w:rPr>
          <w:sz w:val="22"/>
          <w:szCs w:val="22"/>
        </w:rPr>
        <w:t xml:space="preserve">Vom </w:t>
      </w:r>
      <w:r w:rsidR="00E01E73">
        <w:rPr>
          <w:sz w:val="22"/>
          <w:szCs w:val="22"/>
        </w:rPr>
        <w:t>anrechenbaren Jahresbruttoeinkommens</w:t>
      </w:r>
      <w:r w:rsidRPr="003A3FC9">
        <w:rPr>
          <w:sz w:val="22"/>
          <w:szCs w:val="22"/>
        </w:rPr>
        <w:t xml:space="preserve"> sind für jedes </w:t>
      </w:r>
      <w:r w:rsidR="00E01E73">
        <w:rPr>
          <w:sz w:val="22"/>
          <w:szCs w:val="22"/>
        </w:rPr>
        <w:t>unterhaltspflichtige Kind</w:t>
      </w:r>
      <w:r w:rsidR="002521D2">
        <w:rPr>
          <w:sz w:val="22"/>
          <w:szCs w:val="22"/>
        </w:rPr>
        <w:t xml:space="preserve"> </w:t>
      </w:r>
      <w:r w:rsidRPr="003A3FC9">
        <w:rPr>
          <w:sz w:val="22"/>
          <w:szCs w:val="22"/>
        </w:rPr>
        <w:t xml:space="preserve">6.300 Euro abziehbar. Die Höhe der Förderung </w:t>
      </w:r>
      <w:r w:rsidR="006C1598">
        <w:rPr>
          <w:sz w:val="22"/>
          <w:szCs w:val="22"/>
        </w:rPr>
        <w:t>beträgt</w:t>
      </w:r>
      <w:r w:rsidRPr="003A3FC9">
        <w:rPr>
          <w:sz w:val="22"/>
          <w:szCs w:val="22"/>
        </w:rPr>
        <w:t>:</w:t>
      </w:r>
    </w:p>
    <w:tbl>
      <w:tblPr>
        <w:tblpPr w:leftFromText="141" w:rightFromText="141" w:vertAnchor="text" w:horzAnchor="margin" w:tblpY="144"/>
        <w:tblOverlap w:val="never"/>
        <w:tblW w:w="9209" w:type="dxa"/>
        <w:tblCellMar>
          <w:top w:w="105" w:type="dxa"/>
          <w:left w:w="105" w:type="dxa"/>
          <w:bottom w:w="105" w:type="dxa"/>
          <w:right w:w="105" w:type="dxa"/>
        </w:tblCellMar>
        <w:tblLook w:val="04A0" w:firstRow="1" w:lastRow="0" w:firstColumn="1" w:lastColumn="0" w:noHBand="0" w:noVBand="1"/>
      </w:tblPr>
      <w:tblGrid>
        <w:gridCol w:w="3256"/>
        <w:gridCol w:w="3118"/>
        <w:gridCol w:w="2835"/>
      </w:tblGrid>
      <w:tr w:rsidR="00C3337B" w:rsidRPr="00B3686F" w14:paraId="03DB491D" w14:textId="77777777" w:rsidTr="00FB7F65">
        <w:trPr>
          <w:trHeight w:val="150"/>
        </w:trPr>
        <w:tc>
          <w:tcPr>
            <w:tcW w:w="3256" w:type="dxa"/>
            <w:tcBorders>
              <w:top w:val="single" w:sz="4" w:space="0" w:color="auto"/>
              <w:left w:val="single" w:sz="4" w:space="0" w:color="auto"/>
              <w:bottom w:val="single" w:sz="4" w:space="0" w:color="auto"/>
              <w:right w:val="single" w:sz="6" w:space="0" w:color="00000A"/>
            </w:tcBorders>
            <w:shd w:val="clear" w:color="auto" w:fill="F2F2F2" w:themeFill="background1" w:themeFillShade="F2"/>
            <w:tcMar>
              <w:top w:w="0" w:type="dxa"/>
              <w:left w:w="113" w:type="dxa"/>
              <w:bottom w:w="0" w:type="dxa"/>
              <w:right w:w="108" w:type="dxa"/>
            </w:tcMar>
            <w:hideMark/>
          </w:tcPr>
          <w:p w14:paraId="5726C896" w14:textId="77777777" w:rsidR="00E01E73" w:rsidRDefault="00E01E73" w:rsidP="00C3337B">
            <w:pPr>
              <w:spacing w:line="240" w:lineRule="auto"/>
              <w:jc w:val="center"/>
              <w:rPr>
                <w:rFonts w:cs="Arial"/>
                <w:b/>
                <w:color w:val="00000A"/>
                <w:sz w:val="20"/>
                <w:szCs w:val="22"/>
                <w:lang w:val="de-AT" w:eastAsia="de-AT"/>
              </w:rPr>
            </w:pPr>
            <w:r>
              <w:rPr>
                <w:rFonts w:cs="Arial"/>
                <w:b/>
                <w:color w:val="00000A"/>
                <w:sz w:val="20"/>
                <w:szCs w:val="22"/>
                <w:lang w:val="de-AT" w:eastAsia="de-AT"/>
              </w:rPr>
              <w:t>Förderbemessungsgrundlage</w:t>
            </w:r>
          </w:p>
          <w:p w14:paraId="05EA07E0" w14:textId="77777777" w:rsidR="00C3337B" w:rsidRPr="00E01E73" w:rsidRDefault="00E01E73" w:rsidP="00C3337B">
            <w:pPr>
              <w:spacing w:line="240" w:lineRule="auto"/>
              <w:jc w:val="center"/>
              <w:rPr>
                <w:rFonts w:cs="Arial"/>
                <w:sz w:val="20"/>
                <w:szCs w:val="22"/>
                <w:lang w:val="de-AT" w:eastAsia="de-AT"/>
              </w:rPr>
            </w:pPr>
            <w:r w:rsidRPr="00E01E73">
              <w:rPr>
                <w:rFonts w:cs="Arial"/>
                <w:color w:val="00000A"/>
                <w:sz w:val="18"/>
                <w:szCs w:val="22"/>
                <w:lang w:val="de-AT" w:eastAsia="de-AT"/>
              </w:rPr>
              <w:t>(</w:t>
            </w:r>
            <w:r w:rsidR="00C3337B" w:rsidRPr="00E01E73">
              <w:rPr>
                <w:rFonts w:cs="Arial"/>
                <w:color w:val="00000A"/>
                <w:sz w:val="18"/>
                <w:szCs w:val="22"/>
                <w:lang w:val="de-AT" w:eastAsia="de-AT"/>
              </w:rPr>
              <w:t xml:space="preserve">Anrechenbares Jahresbruttoeinkommen </w:t>
            </w:r>
            <w:proofErr w:type="spellStart"/>
            <w:r w:rsidR="005A2093" w:rsidRPr="00E01E73">
              <w:rPr>
                <w:rFonts w:cs="Arial"/>
                <w:color w:val="00000A"/>
                <w:sz w:val="18"/>
                <w:szCs w:val="22"/>
                <w:lang w:val="de-AT" w:eastAsia="de-AT"/>
              </w:rPr>
              <w:t>abzügl</w:t>
            </w:r>
            <w:proofErr w:type="spellEnd"/>
            <w:r w:rsidR="005A2093" w:rsidRPr="00E01E73">
              <w:rPr>
                <w:rFonts w:cs="Arial"/>
                <w:color w:val="00000A"/>
                <w:sz w:val="18"/>
                <w:szCs w:val="22"/>
                <w:lang w:val="de-AT" w:eastAsia="de-AT"/>
              </w:rPr>
              <w:t xml:space="preserve">. </w:t>
            </w:r>
            <w:r w:rsidR="00FB7F65">
              <w:rPr>
                <w:rFonts w:cs="Arial"/>
                <w:color w:val="00000A"/>
                <w:sz w:val="18"/>
                <w:szCs w:val="22"/>
                <w:lang w:val="de-AT" w:eastAsia="de-AT"/>
              </w:rPr>
              <w:t>Kinder-</w:t>
            </w:r>
            <w:r w:rsidR="005A2093" w:rsidRPr="00E01E73">
              <w:rPr>
                <w:rFonts w:cs="Arial"/>
                <w:color w:val="00000A"/>
                <w:sz w:val="18"/>
                <w:szCs w:val="22"/>
                <w:lang w:val="de-AT" w:eastAsia="de-AT"/>
              </w:rPr>
              <w:t>Absetzbetrag</w:t>
            </w:r>
            <w:r w:rsidRPr="00E01E73">
              <w:rPr>
                <w:rFonts w:cs="Arial"/>
                <w:color w:val="00000A"/>
                <w:sz w:val="18"/>
                <w:szCs w:val="22"/>
                <w:lang w:val="de-AT" w:eastAsia="de-AT"/>
              </w:rPr>
              <w:t>)</w:t>
            </w:r>
          </w:p>
        </w:tc>
        <w:tc>
          <w:tcPr>
            <w:tcW w:w="3118" w:type="dxa"/>
            <w:tcBorders>
              <w:top w:val="single" w:sz="4" w:space="0" w:color="auto"/>
              <w:left w:val="single" w:sz="6" w:space="0" w:color="00000A"/>
              <w:bottom w:val="single" w:sz="4" w:space="0" w:color="auto"/>
              <w:right w:val="single" w:sz="6" w:space="0" w:color="00000A"/>
            </w:tcBorders>
            <w:shd w:val="clear" w:color="auto" w:fill="F2F2F2" w:themeFill="background1" w:themeFillShade="F2"/>
            <w:tcMar>
              <w:top w:w="0" w:type="dxa"/>
              <w:left w:w="113" w:type="dxa"/>
              <w:bottom w:w="0" w:type="dxa"/>
              <w:right w:w="108" w:type="dxa"/>
            </w:tcMar>
            <w:hideMark/>
          </w:tcPr>
          <w:p w14:paraId="7E3CC6A2" w14:textId="77777777" w:rsidR="00C3337B" w:rsidRDefault="00C3337B" w:rsidP="00C3337B">
            <w:pPr>
              <w:spacing w:line="240" w:lineRule="auto"/>
              <w:jc w:val="center"/>
              <w:rPr>
                <w:rFonts w:cs="Arial"/>
                <w:b/>
                <w:color w:val="00000A"/>
                <w:sz w:val="20"/>
                <w:szCs w:val="22"/>
                <w:lang w:val="de-AT" w:eastAsia="de-AT"/>
              </w:rPr>
            </w:pPr>
            <w:r w:rsidRPr="00CF68DC">
              <w:rPr>
                <w:rFonts w:cs="Arial"/>
                <w:b/>
                <w:color w:val="00000A"/>
                <w:sz w:val="20"/>
                <w:szCs w:val="22"/>
                <w:lang w:val="de-AT" w:eastAsia="de-AT"/>
              </w:rPr>
              <w:t>Förder</w:t>
            </w:r>
            <w:r>
              <w:rPr>
                <w:rFonts w:cs="Arial"/>
                <w:b/>
                <w:color w:val="00000A"/>
                <w:sz w:val="20"/>
                <w:szCs w:val="22"/>
                <w:lang w:val="de-AT" w:eastAsia="de-AT"/>
              </w:rPr>
              <w:t>höhe</w:t>
            </w:r>
            <w:r w:rsidRPr="00CF68DC">
              <w:rPr>
                <w:rFonts w:cs="Arial"/>
                <w:b/>
                <w:color w:val="00000A"/>
                <w:sz w:val="20"/>
                <w:szCs w:val="22"/>
                <w:lang w:val="de-AT" w:eastAsia="de-AT"/>
              </w:rPr>
              <w:t xml:space="preserve"> bei</w:t>
            </w:r>
          </w:p>
          <w:p w14:paraId="7C9D1FC5" w14:textId="77777777" w:rsidR="00FB7F65" w:rsidRDefault="00C3337B" w:rsidP="00C3337B">
            <w:pPr>
              <w:spacing w:line="240" w:lineRule="auto"/>
              <w:jc w:val="center"/>
              <w:rPr>
                <w:rFonts w:cs="Arial"/>
                <w:b/>
                <w:color w:val="00000A"/>
                <w:sz w:val="20"/>
                <w:szCs w:val="22"/>
                <w:lang w:val="de-AT" w:eastAsia="de-AT"/>
              </w:rPr>
            </w:pPr>
            <w:r>
              <w:rPr>
                <w:rFonts w:cs="Arial"/>
                <w:b/>
                <w:color w:val="00000A"/>
                <w:sz w:val="20"/>
                <w:szCs w:val="22"/>
                <w:lang w:val="de-AT" w:eastAsia="de-AT"/>
              </w:rPr>
              <w:t>einjährigem</w:t>
            </w:r>
            <w:r w:rsidRPr="00CF68DC">
              <w:rPr>
                <w:rFonts w:cs="Arial"/>
                <w:b/>
                <w:color w:val="00000A"/>
                <w:sz w:val="20"/>
                <w:szCs w:val="22"/>
                <w:lang w:val="de-AT" w:eastAsia="de-AT"/>
              </w:rPr>
              <w:t xml:space="preserve"> </w:t>
            </w:r>
          </w:p>
          <w:p w14:paraId="32D8D090" w14:textId="77777777" w:rsidR="00C3337B" w:rsidRPr="00CF68DC" w:rsidRDefault="00C3337B" w:rsidP="00C3337B">
            <w:pPr>
              <w:spacing w:line="240" w:lineRule="auto"/>
              <w:jc w:val="center"/>
              <w:rPr>
                <w:rFonts w:cs="Arial"/>
                <w:b/>
                <w:sz w:val="20"/>
                <w:szCs w:val="22"/>
                <w:lang w:val="de-AT" w:eastAsia="de-AT"/>
              </w:rPr>
            </w:pPr>
            <w:r w:rsidRPr="00CF68DC">
              <w:rPr>
                <w:rFonts w:cs="Arial"/>
                <w:b/>
                <w:color w:val="00000A"/>
                <w:sz w:val="20"/>
                <w:szCs w:val="22"/>
                <w:lang w:val="de-AT" w:eastAsia="de-AT"/>
              </w:rPr>
              <w:t>Auslandsaufenthalt</w:t>
            </w:r>
          </w:p>
        </w:tc>
        <w:tc>
          <w:tcPr>
            <w:tcW w:w="2835" w:type="dxa"/>
            <w:tcBorders>
              <w:top w:val="single" w:sz="4" w:space="0" w:color="auto"/>
              <w:left w:val="single" w:sz="6" w:space="0" w:color="00000A"/>
              <w:bottom w:val="single" w:sz="4" w:space="0" w:color="auto"/>
              <w:right w:val="single" w:sz="4" w:space="0" w:color="auto"/>
            </w:tcBorders>
            <w:shd w:val="clear" w:color="auto" w:fill="F2F2F2" w:themeFill="background1" w:themeFillShade="F2"/>
            <w:tcMar>
              <w:top w:w="0" w:type="dxa"/>
              <w:left w:w="113" w:type="dxa"/>
              <w:bottom w:w="0" w:type="dxa"/>
              <w:right w:w="108" w:type="dxa"/>
            </w:tcMar>
            <w:hideMark/>
          </w:tcPr>
          <w:p w14:paraId="42C5F1DD" w14:textId="77777777" w:rsidR="00FB7F65" w:rsidRDefault="00C3337B" w:rsidP="00C3337B">
            <w:pPr>
              <w:spacing w:line="240" w:lineRule="auto"/>
              <w:jc w:val="center"/>
              <w:rPr>
                <w:rFonts w:cs="Arial"/>
                <w:b/>
                <w:color w:val="00000A"/>
                <w:sz w:val="20"/>
                <w:szCs w:val="22"/>
                <w:lang w:val="de-AT" w:eastAsia="de-AT"/>
              </w:rPr>
            </w:pPr>
            <w:r w:rsidRPr="00CF68DC">
              <w:rPr>
                <w:rFonts w:cs="Arial"/>
                <w:b/>
                <w:color w:val="00000A"/>
                <w:sz w:val="20"/>
                <w:szCs w:val="22"/>
                <w:lang w:val="de-AT" w:eastAsia="de-AT"/>
              </w:rPr>
              <w:t xml:space="preserve">Förderbetrag bei </w:t>
            </w:r>
          </w:p>
          <w:p w14:paraId="3EDC850D" w14:textId="77777777" w:rsidR="00FB7F65" w:rsidRDefault="00FB7F65" w:rsidP="00C3337B">
            <w:pPr>
              <w:spacing w:line="240" w:lineRule="auto"/>
              <w:jc w:val="center"/>
              <w:rPr>
                <w:rFonts w:cs="Arial"/>
                <w:b/>
                <w:color w:val="00000A"/>
                <w:sz w:val="20"/>
                <w:szCs w:val="22"/>
                <w:lang w:val="de-AT" w:eastAsia="de-AT"/>
              </w:rPr>
            </w:pPr>
            <w:r>
              <w:rPr>
                <w:rFonts w:cs="Arial"/>
                <w:b/>
                <w:color w:val="00000A"/>
                <w:sz w:val="20"/>
                <w:szCs w:val="22"/>
                <w:lang w:val="de-AT" w:eastAsia="de-AT"/>
              </w:rPr>
              <w:t>H</w:t>
            </w:r>
            <w:r w:rsidR="00C3337B">
              <w:rPr>
                <w:rFonts w:cs="Arial"/>
                <w:b/>
                <w:color w:val="00000A"/>
                <w:sz w:val="20"/>
                <w:szCs w:val="22"/>
                <w:lang w:val="de-AT" w:eastAsia="de-AT"/>
              </w:rPr>
              <w:t>alb</w:t>
            </w:r>
            <w:r w:rsidR="00C3337B" w:rsidRPr="00CF68DC">
              <w:rPr>
                <w:rFonts w:cs="Arial"/>
                <w:b/>
                <w:color w:val="00000A"/>
                <w:sz w:val="20"/>
                <w:szCs w:val="22"/>
                <w:lang w:val="de-AT" w:eastAsia="de-AT"/>
              </w:rPr>
              <w:t>jährigem</w:t>
            </w:r>
          </w:p>
          <w:p w14:paraId="2CE90E6D" w14:textId="77777777" w:rsidR="00C3337B" w:rsidRPr="00CF68DC" w:rsidRDefault="00C3337B" w:rsidP="00C3337B">
            <w:pPr>
              <w:spacing w:line="240" w:lineRule="auto"/>
              <w:jc w:val="center"/>
              <w:rPr>
                <w:rFonts w:cs="Arial"/>
                <w:b/>
                <w:sz w:val="20"/>
                <w:szCs w:val="22"/>
                <w:lang w:val="de-AT" w:eastAsia="de-AT"/>
              </w:rPr>
            </w:pPr>
            <w:r w:rsidRPr="00CF68DC">
              <w:rPr>
                <w:rFonts w:cs="Arial"/>
                <w:b/>
                <w:color w:val="00000A"/>
                <w:sz w:val="20"/>
                <w:szCs w:val="22"/>
                <w:lang w:val="de-AT" w:eastAsia="de-AT"/>
              </w:rPr>
              <w:t>Auslandsaufenthalt</w:t>
            </w:r>
          </w:p>
        </w:tc>
      </w:tr>
      <w:tr w:rsidR="00C3337B" w:rsidRPr="00B3686F" w14:paraId="2A114838" w14:textId="77777777" w:rsidTr="00FB7F65">
        <w:tc>
          <w:tcPr>
            <w:tcW w:w="3256" w:type="dxa"/>
            <w:tcBorders>
              <w:top w:val="single" w:sz="4" w:space="0" w:color="auto"/>
              <w:left w:val="single" w:sz="6" w:space="0" w:color="00000A"/>
              <w:bottom w:val="single" w:sz="6" w:space="0" w:color="00000A"/>
              <w:right w:val="single" w:sz="6" w:space="0" w:color="00000A"/>
            </w:tcBorders>
            <w:shd w:val="clear" w:color="auto" w:fill="F2F2F2" w:themeFill="background1" w:themeFillShade="F2"/>
            <w:tcMar>
              <w:top w:w="0" w:type="dxa"/>
              <w:left w:w="113" w:type="dxa"/>
              <w:bottom w:w="0" w:type="dxa"/>
              <w:right w:w="108" w:type="dxa"/>
            </w:tcMar>
            <w:hideMark/>
          </w:tcPr>
          <w:p w14:paraId="0E908507" w14:textId="77777777" w:rsidR="00C3337B" w:rsidRPr="00CF68DC" w:rsidRDefault="00C3337B" w:rsidP="00C3337B">
            <w:pPr>
              <w:spacing w:line="326" w:lineRule="atLeast"/>
              <w:rPr>
                <w:rFonts w:cs="Arial"/>
                <w:sz w:val="20"/>
                <w:szCs w:val="22"/>
                <w:lang w:val="de-AT" w:eastAsia="de-AT"/>
              </w:rPr>
            </w:pPr>
            <w:r w:rsidRPr="00CF68DC">
              <w:rPr>
                <w:rFonts w:cs="Arial"/>
                <w:color w:val="000000"/>
                <w:sz w:val="20"/>
                <w:szCs w:val="22"/>
                <w:lang w:val="de-AT" w:eastAsia="de-AT"/>
              </w:rPr>
              <w:t>bis € 39.200</w:t>
            </w:r>
          </w:p>
        </w:tc>
        <w:tc>
          <w:tcPr>
            <w:tcW w:w="3118" w:type="dxa"/>
            <w:tcBorders>
              <w:top w:val="single" w:sz="4" w:space="0" w:color="auto"/>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14:paraId="594C0674" w14:textId="77777777"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€ 3.500</w:t>
            </w:r>
          </w:p>
        </w:tc>
        <w:tc>
          <w:tcPr>
            <w:tcW w:w="2835" w:type="dxa"/>
            <w:tcBorders>
              <w:top w:val="single" w:sz="4" w:space="0" w:color="auto"/>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14:paraId="54A070B9" w14:textId="77777777"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€ 1.750</w:t>
            </w:r>
          </w:p>
        </w:tc>
      </w:tr>
      <w:tr w:rsidR="00C3337B" w:rsidRPr="00B3686F" w14:paraId="3B45ABB3" w14:textId="77777777" w:rsidTr="00FB7F65">
        <w:tc>
          <w:tcPr>
            <w:tcW w:w="3256"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top w:w="0" w:type="dxa"/>
              <w:left w:w="113" w:type="dxa"/>
              <w:bottom w:w="0" w:type="dxa"/>
              <w:right w:w="108" w:type="dxa"/>
            </w:tcMar>
            <w:hideMark/>
          </w:tcPr>
          <w:p w14:paraId="740C4C1B" w14:textId="77777777" w:rsidR="00C3337B" w:rsidRPr="00CF68DC" w:rsidRDefault="00C3337B" w:rsidP="00C3337B">
            <w:pPr>
              <w:spacing w:line="326" w:lineRule="atLeast"/>
              <w:rPr>
                <w:rFonts w:cs="Arial"/>
                <w:sz w:val="20"/>
                <w:szCs w:val="22"/>
                <w:lang w:val="de-AT" w:eastAsia="de-AT"/>
              </w:rPr>
            </w:pPr>
            <w:r w:rsidRPr="00CF68DC">
              <w:rPr>
                <w:rFonts w:cs="Arial"/>
                <w:color w:val="000000"/>
                <w:sz w:val="20"/>
                <w:szCs w:val="22"/>
                <w:lang w:val="de-AT" w:eastAsia="de-AT"/>
              </w:rPr>
              <w:t xml:space="preserve">€ 39.201 </w:t>
            </w:r>
            <w:r>
              <w:rPr>
                <w:rFonts w:cs="Arial"/>
                <w:color w:val="000000"/>
                <w:sz w:val="20"/>
                <w:szCs w:val="22"/>
                <w:lang w:val="de-AT" w:eastAsia="de-AT"/>
              </w:rPr>
              <w:t xml:space="preserve">bis </w:t>
            </w:r>
            <w:r w:rsidRPr="00CF68DC">
              <w:rPr>
                <w:rFonts w:cs="Arial"/>
                <w:color w:val="000000"/>
                <w:sz w:val="20"/>
                <w:szCs w:val="22"/>
                <w:lang w:val="de-AT" w:eastAsia="de-AT"/>
              </w:rPr>
              <w:t xml:space="preserve">€ 56.000 </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14:paraId="16D097C1" w14:textId="77777777"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€ 2.500</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14:paraId="5B5A88F9" w14:textId="77777777"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€ 1.250</w:t>
            </w:r>
          </w:p>
        </w:tc>
      </w:tr>
      <w:tr w:rsidR="00C3337B" w:rsidRPr="00B3686F" w14:paraId="587A84D5" w14:textId="77777777" w:rsidTr="00FB7F65">
        <w:tc>
          <w:tcPr>
            <w:tcW w:w="3256" w:type="dxa"/>
            <w:tcBorders>
              <w:top w:val="single" w:sz="6" w:space="0" w:color="00000A"/>
              <w:left w:val="single" w:sz="6" w:space="0" w:color="00000A"/>
              <w:bottom w:val="single" w:sz="4" w:space="0" w:color="auto"/>
              <w:right w:val="single" w:sz="6" w:space="0" w:color="00000A"/>
            </w:tcBorders>
            <w:shd w:val="clear" w:color="auto" w:fill="F2F2F2" w:themeFill="background1" w:themeFillShade="F2"/>
            <w:tcMar>
              <w:top w:w="0" w:type="dxa"/>
              <w:left w:w="113" w:type="dxa"/>
              <w:bottom w:w="0" w:type="dxa"/>
              <w:right w:w="108" w:type="dxa"/>
            </w:tcMar>
            <w:hideMark/>
          </w:tcPr>
          <w:p w14:paraId="7AD8B370" w14:textId="77777777" w:rsidR="00C3337B" w:rsidRPr="00CF68DC" w:rsidRDefault="00C3337B" w:rsidP="00C3337B">
            <w:pPr>
              <w:spacing w:line="326" w:lineRule="atLeast"/>
              <w:rPr>
                <w:rFonts w:cs="Arial"/>
                <w:sz w:val="20"/>
                <w:szCs w:val="22"/>
                <w:lang w:val="de-AT" w:eastAsia="de-AT"/>
              </w:rPr>
            </w:pPr>
            <w:r w:rsidRPr="00CF68DC">
              <w:rPr>
                <w:rFonts w:cs="Arial"/>
                <w:color w:val="000000"/>
                <w:sz w:val="20"/>
                <w:szCs w:val="22"/>
                <w:lang w:val="de-AT" w:eastAsia="de-AT"/>
              </w:rPr>
              <w:t>€ 56.001 bis € 89.000</w:t>
            </w:r>
          </w:p>
        </w:tc>
        <w:tc>
          <w:tcPr>
            <w:tcW w:w="3118" w:type="dxa"/>
            <w:tcBorders>
              <w:top w:val="single" w:sz="6" w:space="0" w:color="00000A"/>
              <w:left w:val="single" w:sz="6" w:space="0" w:color="00000A"/>
              <w:bottom w:val="single" w:sz="4" w:space="0" w:color="auto"/>
              <w:right w:val="single" w:sz="6" w:space="0" w:color="00000A"/>
            </w:tcBorders>
            <w:shd w:val="clear" w:color="auto" w:fill="auto"/>
            <w:tcMar>
              <w:top w:w="0" w:type="dxa"/>
              <w:left w:w="113" w:type="dxa"/>
              <w:bottom w:w="0" w:type="dxa"/>
              <w:right w:w="108" w:type="dxa"/>
            </w:tcMar>
            <w:hideMark/>
          </w:tcPr>
          <w:p w14:paraId="6668BF7A" w14:textId="77777777"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€ 1.200</w:t>
            </w:r>
          </w:p>
        </w:tc>
        <w:tc>
          <w:tcPr>
            <w:tcW w:w="2835" w:type="dxa"/>
            <w:tcBorders>
              <w:top w:val="single" w:sz="6" w:space="0" w:color="00000A"/>
              <w:left w:val="single" w:sz="6" w:space="0" w:color="00000A"/>
              <w:bottom w:val="single" w:sz="4" w:space="0" w:color="auto"/>
              <w:right w:val="single" w:sz="6" w:space="0" w:color="00000A"/>
            </w:tcBorders>
            <w:shd w:val="clear" w:color="auto" w:fill="auto"/>
            <w:tcMar>
              <w:top w:w="0" w:type="dxa"/>
              <w:left w:w="113" w:type="dxa"/>
              <w:bottom w:w="0" w:type="dxa"/>
              <w:right w:w="108" w:type="dxa"/>
            </w:tcMar>
            <w:hideMark/>
          </w:tcPr>
          <w:p w14:paraId="5B86ABD2" w14:textId="77777777"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€ 600</w:t>
            </w:r>
          </w:p>
        </w:tc>
      </w:tr>
      <w:tr w:rsidR="00C3337B" w:rsidRPr="00B3686F" w14:paraId="5847A8F3" w14:textId="77777777" w:rsidTr="00FB7F65">
        <w:tc>
          <w:tcPr>
            <w:tcW w:w="3256" w:type="dxa"/>
            <w:tcBorders>
              <w:top w:val="single" w:sz="4" w:space="0" w:color="auto"/>
              <w:left w:val="single" w:sz="6" w:space="0" w:color="00000A"/>
              <w:bottom w:val="single" w:sz="6" w:space="0" w:color="00000A"/>
              <w:right w:val="single" w:sz="4" w:space="0" w:color="auto"/>
            </w:tcBorders>
            <w:shd w:val="clear" w:color="auto" w:fill="F2F2F2" w:themeFill="background1" w:themeFillShade="F2"/>
            <w:tcMar>
              <w:top w:w="0" w:type="dxa"/>
              <w:left w:w="113" w:type="dxa"/>
              <w:bottom w:w="0" w:type="dxa"/>
              <w:right w:w="108" w:type="dxa"/>
            </w:tcMar>
            <w:hideMark/>
          </w:tcPr>
          <w:p w14:paraId="6F46CEA5" w14:textId="77777777" w:rsidR="00C3337B" w:rsidRPr="00E6273B" w:rsidRDefault="00C3337B" w:rsidP="00C3337B">
            <w:pPr>
              <w:spacing w:line="240" w:lineRule="auto"/>
              <w:rPr>
                <w:rFonts w:cs="Arial"/>
                <w:color w:val="000000"/>
                <w:sz w:val="8"/>
                <w:szCs w:val="22"/>
                <w:lang w:val="de-AT" w:eastAsia="de-AT"/>
              </w:rPr>
            </w:pPr>
          </w:p>
          <w:p w14:paraId="0A728608" w14:textId="77777777" w:rsidR="00C3337B" w:rsidRDefault="00C3337B" w:rsidP="00C3337B">
            <w:pPr>
              <w:spacing w:line="240" w:lineRule="auto"/>
              <w:rPr>
                <w:rFonts w:cs="Arial"/>
                <w:color w:val="000000"/>
                <w:sz w:val="20"/>
                <w:szCs w:val="22"/>
                <w:lang w:val="de-AT" w:eastAsia="de-AT"/>
              </w:rPr>
            </w:pPr>
            <w:r w:rsidRPr="00CF68DC">
              <w:rPr>
                <w:rFonts w:cs="Arial"/>
                <w:color w:val="000000"/>
                <w:sz w:val="20"/>
                <w:szCs w:val="22"/>
                <w:lang w:val="de-AT" w:eastAsia="de-AT"/>
              </w:rPr>
              <w:t xml:space="preserve">Über € 89.000 </w:t>
            </w:r>
          </w:p>
          <w:p w14:paraId="668C9E92" w14:textId="77777777" w:rsidR="00C3337B" w:rsidRPr="00CF68DC" w:rsidRDefault="00C3337B" w:rsidP="00C3337B">
            <w:pPr>
              <w:spacing w:line="240" w:lineRule="auto"/>
              <w:rPr>
                <w:rFonts w:cs="Arial"/>
                <w:sz w:val="20"/>
                <w:szCs w:val="22"/>
                <w:lang w:val="de-AT" w:eastAsia="de-AT"/>
              </w:rPr>
            </w:pPr>
            <w:r>
              <w:rPr>
                <w:rFonts w:cs="Arial"/>
                <w:color w:val="000000"/>
                <w:sz w:val="20"/>
                <w:szCs w:val="22"/>
                <w:lang w:val="de-AT" w:eastAsia="de-AT"/>
              </w:rPr>
              <w:t>keine Förderung*</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C33B0" w14:textId="77777777" w:rsidR="00C3337B" w:rsidRPr="00CF68DC" w:rsidRDefault="00C3337B" w:rsidP="00C3337B">
            <w:pPr>
              <w:spacing w:line="240" w:lineRule="auto"/>
              <w:rPr>
                <w:rFonts w:cs="Arial"/>
                <w:sz w:val="20"/>
                <w:szCs w:val="22"/>
                <w:lang w:val="de-AT" w:eastAsia="de-AT"/>
              </w:rPr>
            </w:pPr>
            <w:r>
              <w:rPr>
                <w:sz w:val="18"/>
                <w:szCs w:val="22"/>
              </w:rPr>
              <w:t>*</w:t>
            </w:r>
            <w:r w:rsidRPr="000B196E">
              <w:rPr>
                <w:sz w:val="18"/>
                <w:szCs w:val="22"/>
              </w:rPr>
              <w:t>in besonders berücksichtigungswürdigen Fällen, (wie z.B. getrennter Haushalt der Unterhaltspflichtigen, Kinderreichtum) kann über diese Höchstgrenze hinausgegangen werden.</w:t>
            </w:r>
          </w:p>
        </w:tc>
      </w:tr>
    </w:tbl>
    <w:p w14:paraId="50294D17" w14:textId="77777777" w:rsidR="003A3FC9" w:rsidRDefault="003A3FC9" w:rsidP="003A3FC9">
      <w:pPr>
        <w:spacing w:line="240" w:lineRule="auto"/>
        <w:jc w:val="both"/>
        <w:rPr>
          <w:sz w:val="22"/>
          <w:szCs w:val="22"/>
        </w:rPr>
      </w:pPr>
    </w:p>
    <w:p w14:paraId="5B7F4AE3" w14:textId="77777777" w:rsidR="006C55C1" w:rsidRDefault="006C55C1" w:rsidP="006C55C1">
      <w:pPr>
        <w:spacing w:line="240" w:lineRule="auto"/>
        <w:jc w:val="both"/>
        <w:rPr>
          <w:sz w:val="22"/>
          <w:szCs w:val="22"/>
        </w:rPr>
      </w:pPr>
      <w:r w:rsidRPr="003A3FC9">
        <w:rPr>
          <w:sz w:val="22"/>
          <w:szCs w:val="22"/>
        </w:rPr>
        <w:t>Als Bestätigung</w:t>
      </w:r>
      <w:r w:rsidR="00353D08">
        <w:rPr>
          <w:sz w:val="22"/>
          <w:szCs w:val="22"/>
        </w:rPr>
        <w:t xml:space="preserve"> des </w:t>
      </w:r>
      <w:r w:rsidR="00C3337B">
        <w:rPr>
          <w:sz w:val="22"/>
          <w:szCs w:val="22"/>
        </w:rPr>
        <w:t>Jahresbrutto</w:t>
      </w:r>
      <w:r w:rsidR="00353D08">
        <w:rPr>
          <w:sz w:val="22"/>
          <w:szCs w:val="22"/>
        </w:rPr>
        <w:t>einkommens</w:t>
      </w:r>
      <w:r w:rsidRPr="003A3FC9">
        <w:rPr>
          <w:sz w:val="22"/>
          <w:szCs w:val="22"/>
        </w:rPr>
        <w:t xml:space="preserve"> ist die Vorlage des Ei</w:t>
      </w:r>
      <w:r>
        <w:rPr>
          <w:sz w:val="22"/>
          <w:szCs w:val="22"/>
        </w:rPr>
        <w:t>nkommen</w:t>
      </w:r>
      <w:r w:rsidR="00353D08">
        <w:rPr>
          <w:sz w:val="22"/>
          <w:szCs w:val="22"/>
        </w:rPr>
        <w:t>s</w:t>
      </w:r>
      <w:r>
        <w:rPr>
          <w:sz w:val="22"/>
          <w:szCs w:val="22"/>
        </w:rPr>
        <w:t>steuerbescheides (Jahres</w:t>
      </w:r>
      <w:r w:rsidRPr="003A3FC9">
        <w:rPr>
          <w:sz w:val="22"/>
          <w:szCs w:val="22"/>
        </w:rPr>
        <w:t>ausgleich</w:t>
      </w:r>
      <w:r w:rsidR="00353D08">
        <w:rPr>
          <w:sz w:val="22"/>
          <w:szCs w:val="22"/>
        </w:rPr>
        <w:t>s</w:t>
      </w:r>
      <w:r w:rsidRPr="003A3FC9">
        <w:rPr>
          <w:sz w:val="22"/>
          <w:szCs w:val="22"/>
        </w:rPr>
        <w:t>bescheid des Finanzamtes) des Vorjahres vorgesehen (falls nicht vorhanden der Jahreslohnzettel des Vorjahres). Bei Landwirten ist der letztjährige Einkommensteuerbescheid (nicht pauschalierte Landwirte) bzw. die Gewinnermittlung nach dem EStG (pauschalierte Landwirte) vorzulegen, für Gewerbetreibende der letzte Einkommenssteuerbescheid.</w:t>
      </w:r>
    </w:p>
    <w:p w14:paraId="3D68D702" w14:textId="77777777" w:rsidR="00EE3BE3" w:rsidRDefault="00EE3BE3" w:rsidP="006C55C1">
      <w:pPr>
        <w:spacing w:line="240" w:lineRule="auto"/>
        <w:jc w:val="both"/>
        <w:rPr>
          <w:sz w:val="22"/>
          <w:szCs w:val="22"/>
        </w:rPr>
      </w:pPr>
    </w:p>
    <w:p w14:paraId="7A0D3AD2" w14:textId="77777777" w:rsidR="00C3337B" w:rsidRDefault="00C16DDA" w:rsidP="00C16DDA">
      <w:pPr>
        <w:jc w:val="both"/>
        <w:rPr>
          <w:sz w:val="22"/>
          <w:szCs w:val="22"/>
          <w:u w:val="single"/>
        </w:rPr>
      </w:pPr>
      <w:r>
        <w:rPr>
          <w:sz w:val="22"/>
          <w:szCs w:val="22"/>
          <w:u w:val="single"/>
        </w:rPr>
        <w:lastRenderedPageBreak/>
        <w:t xml:space="preserve">Ermittlung </w:t>
      </w:r>
      <w:r w:rsidR="00E01E73">
        <w:rPr>
          <w:sz w:val="22"/>
          <w:szCs w:val="22"/>
          <w:u w:val="single"/>
        </w:rPr>
        <w:t>der Förderbemessungsgrundlage</w:t>
      </w:r>
      <w:r w:rsidR="00397B8F" w:rsidRPr="00397B8F">
        <w:rPr>
          <w:sz w:val="22"/>
          <w:szCs w:val="22"/>
          <w:u w:val="single"/>
        </w:rPr>
        <w:t>:</w:t>
      </w:r>
    </w:p>
    <w:p w14:paraId="689674FC" w14:textId="77777777"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Maßgeblich für die Gewährung und das Ausmaß einer Förderung nach dieser Richtlinie ist das Jahresbruttoeinkommen der/des Eltern(-</w:t>
      </w:r>
      <w:proofErr w:type="gramStart"/>
      <w:r>
        <w:rPr>
          <w:rFonts w:cs="Arial"/>
          <w:color w:val="000000"/>
          <w:sz w:val="22"/>
          <w:szCs w:val="22"/>
          <w:lang w:val="de-AT" w:eastAsia="de-AT"/>
        </w:rPr>
        <w:t>teils)/</w:t>
      </w:r>
      <w:proofErr w:type="gramEnd"/>
      <w:r>
        <w:rPr>
          <w:rFonts w:cs="Arial"/>
          <w:color w:val="000000"/>
          <w:sz w:val="22"/>
          <w:szCs w:val="22"/>
          <w:lang w:val="de-AT" w:eastAsia="de-AT"/>
        </w:rPr>
        <w:t>Erziehungsberechtigten mit dem/denen das Kind im gemeinsamen Haushalt lebt. Es wird das Bruttoeinkommen im Jahr, das dem Besuch der Schule im Ausland vorausgeht, herangezogen. Ist das Einkommen im Jahr des Besuchs der Schule im Ausland voraussichtlich wesentlich niedriger, ist dieses Jahr für die Förderung maßgeblich – die Voraussetzungen hierfür sind glaubhaft zu machen.</w:t>
      </w:r>
    </w:p>
    <w:p w14:paraId="6F12DA8F" w14:textId="77777777"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 xml:space="preserve">Leben die Eltern/Erziehungsberechtigten nicht in </w:t>
      </w:r>
      <w:r w:rsidR="00740783">
        <w:rPr>
          <w:rFonts w:cs="Arial"/>
          <w:color w:val="000000"/>
          <w:sz w:val="22"/>
          <w:szCs w:val="22"/>
          <w:lang w:val="de-AT" w:eastAsia="de-AT"/>
        </w:rPr>
        <w:t xml:space="preserve">einer </w:t>
      </w:r>
      <w:r>
        <w:rPr>
          <w:rFonts w:cs="Arial"/>
          <w:color w:val="000000"/>
          <w:sz w:val="22"/>
          <w:szCs w:val="22"/>
          <w:lang w:val="de-AT" w:eastAsia="de-AT"/>
        </w:rPr>
        <w:t xml:space="preserve">Wohngemeinschaft, werden allfällige Einnahmen aus Unterhalts- oder </w:t>
      </w:r>
      <w:proofErr w:type="spellStart"/>
      <w:r>
        <w:rPr>
          <w:rFonts w:cs="Arial"/>
          <w:color w:val="000000"/>
          <w:sz w:val="22"/>
          <w:szCs w:val="22"/>
          <w:lang w:val="de-AT" w:eastAsia="de-AT"/>
        </w:rPr>
        <w:t>Alimentenzahlungen</w:t>
      </w:r>
      <w:proofErr w:type="spellEnd"/>
      <w:r>
        <w:rPr>
          <w:rFonts w:cs="Arial"/>
          <w:color w:val="000000"/>
          <w:sz w:val="22"/>
          <w:szCs w:val="22"/>
          <w:lang w:val="de-AT" w:eastAsia="de-AT"/>
        </w:rPr>
        <w:t xml:space="preserve"> bzw. Waisenpension auf das Jahresbruttoeinkommen angerechnet sowie im Falle einer Ausgabe davon abgezogen. Die Höhe entsprechender Zahlungen ist schriftlich zu belegen.</w:t>
      </w:r>
    </w:p>
    <w:p w14:paraId="4157992F" w14:textId="77777777"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Von einem Einkommen aus unselbstständiger Tätigkeit darf ein allfälliger Verlust aus selbständiger Nebentätigkeit nicht abgezogen werden. Einkommen aus selbstständiger Nebentätigkeit werden zum Jahresbruttoeinkommen hinzugezählt.</w:t>
      </w:r>
    </w:p>
    <w:p w14:paraId="589C7604" w14:textId="77777777"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 xml:space="preserve">Nicht zum anrechenbaren Jahresbruttoeinkommen zählen Lehrlingsentschädigung, Stipendium, Einkommen erwachsener Geschwister, Familienbeihilfe und Pflegegeld, ebenso das Einkommen der Großeltern, wenn diese im gemeinsamen Haushalt leben.  </w:t>
      </w:r>
    </w:p>
    <w:p w14:paraId="05685E69" w14:textId="77777777" w:rsidR="00E01E73" w:rsidRDefault="00E01E73" w:rsidP="00E01E73">
      <w:pPr>
        <w:autoSpaceDE w:val="0"/>
        <w:autoSpaceDN w:val="0"/>
        <w:adjustRightInd w:val="0"/>
        <w:spacing w:line="240" w:lineRule="auto"/>
        <w:ind w:left="364" w:hanging="35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 xml:space="preserve">Für jedes </w:t>
      </w:r>
      <w:r w:rsidRPr="00E01E73">
        <w:rPr>
          <w:rFonts w:cs="Arial"/>
          <w:color w:val="000000"/>
          <w:sz w:val="22"/>
          <w:szCs w:val="22"/>
          <w:lang w:val="de-AT" w:eastAsia="de-AT"/>
        </w:rPr>
        <w:t>unterhaltspflichtige Kind</w:t>
      </w:r>
      <w:r>
        <w:rPr>
          <w:rFonts w:cs="Arial"/>
          <w:color w:val="000000"/>
          <w:sz w:val="22"/>
          <w:szCs w:val="22"/>
          <w:lang w:val="de-AT" w:eastAsia="de-AT"/>
        </w:rPr>
        <w:t xml:space="preserve"> ist vom anrechenbaren Jahresbruttoeinkommen ein Absetzbetrag in der Höhe von EUR 6.300,- abzuziehen. </w:t>
      </w:r>
    </w:p>
    <w:p w14:paraId="0FFA854A" w14:textId="77777777" w:rsidR="003A3FC9" w:rsidRDefault="003A3FC9" w:rsidP="00CD0583">
      <w:pPr>
        <w:spacing w:line="240" w:lineRule="auto"/>
        <w:jc w:val="both"/>
        <w:rPr>
          <w:sz w:val="22"/>
          <w:szCs w:val="22"/>
        </w:rPr>
      </w:pPr>
    </w:p>
    <w:p w14:paraId="18D822A1" w14:textId="77777777" w:rsidR="00CD0583" w:rsidRDefault="00CD0583" w:rsidP="00CD0583">
      <w:pPr>
        <w:spacing w:line="240" w:lineRule="auto"/>
        <w:jc w:val="both"/>
        <w:rPr>
          <w:sz w:val="22"/>
          <w:szCs w:val="22"/>
        </w:rPr>
      </w:pPr>
    </w:p>
    <w:p w14:paraId="36B53D8D" w14:textId="77777777" w:rsidR="008A264D" w:rsidRPr="003A3FC9" w:rsidRDefault="008A264D" w:rsidP="00CD0583">
      <w:pPr>
        <w:spacing w:line="240" w:lineRule="auto"/>
        <w:jc w:val="both"/>
        <w:rPr>
          <w:sz w:val="22"/>
          <w:szCs w:val="22"/>
        </w:rPr>
      </w:pPr>
    </w:p>
    <w:p w14:paraId="62071380" w14:textId="77777777" w:rsidR="005D203C" w:rsidRPr="006C1598" w:rsidRDefault="00C47D86" w:rsidP="006C1598">
      <w:pPr>
        <w:pStyle w:val="Listenabsatz"/>
        <w:numPr>
          <w:ilvl w:val="0"/>
          <w:numId w:val="1"/>
        </w:numPr>
        <w:ind w:left="336"/>
        <w:rPr>
          <w:b/>
          <w:sz w:val="22"/>
          <w:szCs w:val="22"/>
        </w:rPr>
      </w:pPr>
      <w:r>
        <w:rPr>
          <w:b/>
          <w:sz w:val="22"/>
          <w:szCs w:val="22"/>
        </w:rPr>
        <w:t>Antragsstellung</w:t>
      </w:r>
    </w:p>
    <w:p w14:paraId="3301C7EA" w14:textId="77777777" w:rsidR="00CD509B" w:rsidRPr="00CD509B" w:rsidRDefault="00CD509B" w:rsidP="00CD509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sz w:val="22"/>
          <w:szCs w:val="22"/>
        </w:rPr>
      </w:pPr>
      <w:r w:rsidRPr="009B1E3C">
        <w:rPr>
          <w:sz w:val="22"/>
          <w:szCs w:val="22"/>
        </w:rPr>
        <w:t xml:space="preserve">Der Förderantrag soll vorzugsweise vor Beginn des Auslandsaufenthalts mittels Online-Förderantrag auf der Homepage </w:t>
      </w:r>
      <w:hyperlink r:id="rId7" w:history="1">
        <w:r w:rsidRPr="009B1E3C">
          <w:rPr>
            <w:sz w:val="22"/>
            <w:szCs w:val="22"/>
          </w:rPr>
          <w:t>www.ljr.at</w:t>
        </w:r>
      </w:hyperlink>
      <w:r w:rsidRPr="009B1E3C">
        <w:rPr>
          <w:sz w:val="22"/>
          <w:szCs w:val="22"/>
        </w:rPr>
        <w:t xml:space="preserve"> (Förderungen / Förderungen des LJR / Schulbesuch im Ausland) gestellt werden. Eine nachträgliche Antragsstellung kann in begründeten Einzelfällen noch im selben Jahr, in dem der Auslandsschulbesuch endete, erfolgen. Die Auszahlung des Förderbetrages erfolgt nach vollständigem Vorliegen der erforderlichen Unterlagen.</w:t>
      </w:r>
    </w:p>
    <w:p w14:paraId="1836439A" w14:textId="77777777" w:rsidR="004F0847" w:rsidRDefault="004F0847" w:rsidP="004F0847">
      <w:pPr>
        <w:spacing w:line="240" w:lineRule="auto"/>
        <w:jc w:val="both"/>
        <w:rPr>
          <w:sz w:val="22"/>
          <w:szCs w:val="22"/>
        </w:rPr>
      </w:pPr>
    </w:p>
    <w:p w14:paraId="74CC3319" w14:textId="77777777" w:rsidR="00397B8F" w:rsidRDefault="0026243D" w:rsidP="00C16DDA">
      <w:pPr>
        <w:jc w:val="both"/>
        <w:rPr>
          <w:sz w:val="22"/>
          <w:szCs w:val="22"/>
        </w:rPr>
      </w:pPr>
      <w:r w:rsidRPr="00397B8F">
        <w:rPr>
          <w:sz w:val="22"/>
          <w:szCs w:val="22"/>
          <w:u w:val="single"/>
        </w:rPr>
        <w:t>E</w:t>
      </w:r>
      <w:r w:rsidR="00C47D86" w:rsidRPr="00397B8F">
        <w:rPr>
          <w:sz w:val="22"/>
          <w:szCs w:val="22"/>
          <w:u w:val="single"/>
        </w:rPr>
        <w:t>rforderliche Unterlagen</w:t>
      </w:r>
      <w:r w:rsidR="00C92255" w:rsidRPr="002C0D9D">
        <w:rPr>
          <w:sz w:val="22"/>
          <w:szCs w:val="22"/>
        </w:rPr>
        <w:t xml:space="preserve"> (Upload</w:t>
      </w:r>
      <w:r w:rsidRPr="002C0D9D">
        <w:rPr>
          <w:sz w:val="22"/>
          <w:szCs w:val="22"/>
        </w:rPr>
        <w:t xml:space="preserve"> </w:t>
      </w:r>
      <w:r w:rsidR="00785382">
        <w:rPr>
          <w:sz w:val="22"/>
          <w:szCs w:val="22"/>
        </w:rPr>
        <w:t xml:space="preserve">als Scans </w:t>
      </w:r>
      <w:r w:rsidRPr="002C0D9D">
        <w:rPr>
          <w:sz w:val="22"/>
          <w:szCs w:val="22"/>
        </w:rPr>
        <w:t>im Online-Förderantrag</w:t>
      </w:r>
      <w:r w:rsidR="00C92255" w:rsidRPr="002C0D9D">
        <w:rPr>
          <w:sz w:val="22"/>
          <w:szCs w:val="22"/>
        </w:rPr>
        <w:t xml:space="preserve"> auf </w:t>
      </w:r>
      <w:r w:rsidR="00397B8F" w:rsidRPr="00560F8A">
        <w:rPr>
          <w:sz w:val="22"/>
          <w:szCs w:val="22"/>
        </w:rPr>
        <w:t>www.ljr.at</w:t>
      </w:r>
      <w:r w:rsidR="00C92255" w:rsidRPr="002C0D9D">
        <w:rPr>
          <w:sz w:val="22"/>
          <w:szCs w:val="22"/>
        </w:rPr>
        <w:t>)</w:t>
      </w:r>
      <w:r w:rsidR="00C47D86" w:rsidRPr="002C0D9D">
        <w:rPr>
          <w:sz w:val="22"/>
          <w:szCs w:val="22"/>
        </w:rPr>
        <w:t>:</w:t>
      </w:r>
    </w:p>
    <w:p w14:paraId="58D14336" w14:textId="77777777"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 xml:space="preserve">Staatsbürgerschaftsnachweis der Schülerin/des Schülers </w:t>
      </w:r>
    </w:p>
    <w:p w14:paraId="6F0C55A4" w14:textId="77777777"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 xml:space="preserve">Meldezettel der Schülerin/des Schülers </w:t>
      </w:r>
    </w:p>
    <w:p w14:paraId="473E6B6A" w14:textId="77777777"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Schulbesuchsbestätigung der</w:t>
      </w:r>
      <w:r w:rsidR="00C92255">
        <w:rPr>
          <w:rFonts w:cs="Arial"/>
          <w:color w:val="000000"/>
          <w:sz w:val="22"/>
          <w:szCs w:val="22"/>
        </w:rPr>
        <w:t xml:space="preserve"> österreichischen</w:t>
      </w:r>
      <w:r w:rsidRPr="00C92255">
        <w:rPr>
          <w:rFonts w:cs="Arial"/>
          <w:color w:val="000000"/>
          <w:sz w:val="22"/>
          <w:szCs w:val="22"/>
        </w:rPr>
        <w:t xml:space="preserve"> Stammschule </w:t>
      </w:r>
    </w:p>
    <w:p w14:paraId="40AB9EA5" w14:textId="77777777"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 xml:space="preserve">Bestätigung über die Aufnahme an der Gastschule im Ausland </w:t>
      </w:r>
    </w:p>
    <w:p w14:paraId="12F1F151" w14:textId="77777777"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Nachweis des Bruttojahreseinkommens</w:t>
      </w:r>
      <w:r w:rsidR="001145B3">
        <w:rPr>
          <w:rFonts w:cs="Arial"/>
          <w:color w:val="000000"/>
          <w:sz w:val="22"/>
          <w:szCs w:val="22"/>
        </w:rPr>
        <w:t xml:space="preserve"> der/s Eltern(-</w:t>
      </w:r>
      <w:proofErr w:type="gramStart"/>
      <w:r w:rsidR="001145B3">
        <w:rPr>
          <w:rFonts w:cs="Arial"/>
          <w:color w:val="000000"/>
          <w:sz w:val="22"/>
          <w:szCs w:val="22"/>
        </w:rPr>
        <w:t>teils)/</w:t>
      </w:r>
      <w:proofErr w:type="gramEnd"/>
      <w:r w:rsidR="001145B3">
        <w:rPr>
          <w:rFonts w:cs="Arial"/>
          <w:color w:val="000000"/>
          <w:sz w:val="22"/>
          <w:szCs w:val="22"/>
        </w:rPr>
        <w:t>Erziehungsberechtigten</w:t>
      </w:r>
      <w:r w:rsidRPr="00C92255">
        <w:rPr>
          <w:rFonts w:cs="Arial"/>
          <w:color w:val="000000"/>
          <w:sz w:val="22"/>
          <w:szCs w:val="22"/>
        </w:rPr>
        <w:t xml:space="preserve"> im Jahr vor Reiseantritt </w:t>
      </w:r>
    </w:p>
    <w:p w14:paraId="66C36DF1" w14:textId="77777777" w:rsidR="00C47D86"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Nachweis der voraussichtlichen Kosten für den Auslandsschulaufenthalt</w:t>
      </w:r>
      <w:r w:rsidR="00C92255">
        <w:rPr>
          <w:rFonts w:cs="Arial"/>
          <w:color w:val="000000"/>
          <w:sz w:val="22"/>
          <w:szCs w:val="22"/>
        </w:rPr>
        <w:t xml:space="preserve"> (Agentur, Reise, Versicherung, etc.)</w:t>
      </w:r>
    </w:p>
    <w:p w14:paraId="725D9542" w14:textId="77777777" w:rsidR="00C85A01" w:rsidRDefault="00C85A01" w:rsidP="00C92255">
      <w:pPr>
        <w:pStyle w:val="Listenabsatz"/>
        <w:numPr>
          <w:ilvl w:val="0"/>
          <w:numId w:val="4"/>
        </w:numPr>
        <w:spacing w:line="240" w:lineRule="auto"/>
        <w:ind w:left="284" w:hanging="308"/>
        <w:jc w:val="both"/>
        <w:rPr>
          <w:rFonts w:cs="Arial"/>
          <w:color w:val="000000"/>
          <w:sz w:val="22"/>
          <w:szCs w:val="22"/>
        </w:rPr>
      </w:pPr>
      <w:r>
        <w:rPr>
          <w:rFonts w:cs="Arial"/>
          <w:color w:val="000000"/>
          <w:sz w:val="22"/>
          <w:szCs w:val="22"/>
        </w:rPr>
        <w:t>Bankomatkarte oder Bankbestätigung mit IBAN und Namen</w:t>
      </w:r>
      <w:r w:rsidR="002C0D9D">
        <w:rPr>
          <w:rFonts w:cs="Arial"/>
          <w:color w:val="000000"/>
          <w:sz w:val="22"/>
          <w:szCs w:val="22"/>
        </w:rPr>
        <w:t xml:space="preserve"> (Förderempfänger)</w:t>
      </w:r>
    </w:p>
    <w:p w14:paraId="0B33F599" w14:textId="77777777" w:rsidR="00C16DDA" w:rsidRDefault="00C16DDA" w:rsidP="00C16DDA">
      <w:pPr>
        <w:pStyle w:val="Listenabsatz"/>
        <w:numPr>
          <w:ilvl w:val="0"/>
          <w:numId w:val="4"/>
        </w:numPr>
        <w:spacing w:line="240" w:lineRule="auto"/>
        <w:ind w:left="284" w:hanging="308"/>
        <w:jc w:val="both"/>
        <w:rPr>
          <w:rFonts w:cs="Arial"/>
          <w:color w:val="000000"/>
          <w:sz w:val="22"/>
          <w:szCs w:val="22"/>
        </w:rPr>
      </w:pPr>
      <w:r>
        <w:rPr>
          <w:rFonts w:cs="Arial"/>
          <w:color w:val="000000"/>
          <w:sz w:val="22"/>
          <w:szCs w:val="22"/>
        </w:rPr>
        <w:t>Buchungsbestätigung für Flug/Zug/Bus (falls zum Zeitpunkt des Förderansuchens bereits vorhanden)</w:t>
      </w:r>
    </w:p>
    <w:p w14:paraId="6361A25B" w14:textId="77777777" w:rsidR="00B07925" w:rsidRDefault="00B07925" w:rsidP="00C16DDA">
      <w:pPr>
        <w:pStyle w:val="Listenabsatz"/>
        <w:numPr>
          <w:ilvl w:val="0"/>
          <w:numId w:val="4"/>
        </w:numPr>
        <w:spacing w:line="240" w:lineRule="auto"/>
        <w:ind w:left="284" w:hanging="308"/>
        <w:jc w:val="both"/>
        <w:rPr>
          <w:rFonts w:cs="Arial"/>
          <w:color w:val="000000"/>
          <w:sz w:val="22"/>
          <w:szCs w:val="22"/>
        </w:rPr>
      </w:pPr>
      <w:proofErr w:type="spellStart"/>
      <w:r>
        <w:rPr>
          <w:rFonts w:cs="Arial"/>
          <w:color w:val="000000"/>
          <w:sz w:val="22"/>
          <w:szCs w:val="22"/>
        </w:rPr>
        <w:t>BSpecial</w:t>
      </w:r>
      <w:proofErr w:type="spellEnd"/>
      <w:r>
        <w:rPr>
          <w:rFonts w:cs="Arial"/>
          <w:color w:val="000000"/>
          <w:sz w:val="22"/>
          <w:szCs w:val="22"/>
        </w:rPr>
        <w:t>-Card</w:t>
      </w:r>
    </w:p>
    <w:p w14:paraId="339E6A9B" w14:textId="77777777" w:rsidR="00614A2F" w:rsidRDefault="00614A2F" w:rsidP="00614A2F">
      <w:pPr>
        <w:spacing w:line="240" w:lineRule="auto"/>
        <w:jc w:val="both"/>
        <w:rPr>
          <w:rFonts w:cs="Arial"/>
          <w:color w:val="000000"/>
          <w:sz w:val="22"/>
          <w:szCs w:val="22"/>
        </w:rPr>
      </w:pPr>
    </w:p>
    <w:p w14:paraId="5F6C8536" w14:textId="77777777" w:rsidR="00614A2F" w:rsidRPr="00614A2F" w:rsidRDefault="00614A2F" w:rsidP="00614A2F">
      <w:pPr>
        <w:spacing w:line="240" w:lineRule="auto"/>
        <w:jc w:val="both"/>
        <w:rPr>
          <w:rFonts w:cs="Arial"/>
          <w:color w:val="000000"/>
          <w:sz w:val="22"/>
          <w:szCs w:val="22"/>
        </w:rPr>
      </w:pPr>
      <w:r w:rsidRPr="00614A2F">
        <w:rPr>
          <w:rFonts w:cs="Arial"/>
          <w:color w:val="000000"/>
          <w:sz w:val="22"/>
          <w:szCs w:val="22"/>
        </w:rPr>
        <w:t>Ein trotz Verbesserungsersuchen der Förderstelle nicht den Vorgaben entsprechendes Förderansuchen sowie die Nichtvorlage der erforderlichen Unterlagen binnen angemessener Frist hat die Zurückweisung des Förderansuchens zur Folge.</w:t>
      </w:r>
    </w:p>
    <w:p w14:paraId="613F5EB4" w14:textId="77777777" w:rsidR="00713FFC" w:rsidRDefault="00713FFC" w:rsidP="00CD0583">
      <w:pPr>
        <w:spacing w:line="240" w:lineRule="auto"/>
        <w:jc w:val="both"/>
        <w:rPr>
          <w:rFonts w:cs="Arial"/>
          <w:color w:val="000000"/>
          <w:sz w:val="22"/>
          <w:szCs w:val="22"/>
        </w:rPr>
      </w:pPr>
    </w:p>
    <w:p w14:paraId="5721036B" w14:textId="77777777" w:rsidR="008A264D" w:rsidRDefault="008A264D" w:rsidP="00CD0583">
      <w:pPr>
        <w:spacing w:line="240" w:lineRule="auto"/>
        <w:jc w:val="both"/>
        <w:rPr>
          <w:rFonts w:cs="Arial"/>
          <w:color w:val="000000"/>
          <w:sz w:val="22"/>
          <w:szCs w:val="22"/>
        </w:rPr>
      </w:pPr>
    </w:p>
    <w:p w14:paraId="288D0C85" w14:textId="77777777" w:rsidR="00CD0583" w:rsidRDefault="00CD0583" w:rsidP="00CD0583">
      <w:pPr>
        <w:spacing w:line="240" w:lineRule="auto"/>
        <w:jc w:val="both"/>
        <w:rPr>
          <w:rFonts w:cs="Arial"/>
          <w:color w:val="000000"/>
          <w:sz w:val="22"/>
          <w:szCs w:val="22"/>
        </w:rPr>
      </w:pPr>
    </w:p>
    <w:p w14:paraId="46260C54" w14:textId="77777777" w:rsidR="00713FFC" w:rsidRPr="00713FFC" w:rsidRDefault="00713FFC" w:rsidP="00713FFC">
      <w:pPr>
        <w:pStyle w:val="Listenabsatz"/>
        <w:numPr>
          <w:ilvl w:val="0"/>
          <w:numId w:val="1"/>
        </w:numPr>
        <w:ind w:left="364"/>
        <w:jc w:val="both"/>
        <w:rPr>
          <w:rFonts w:cs="Arial"/>
          <w:b/>
          <w:color w:val="000000"/>
          <w:sz w:val="22"/>
          <w:szCs w:val="22"/>
        </w:rPr>
      </w:pPr>
      <w:r w:rsidRPr="00713FFC">
        <w:rPr>
          <w:rFonts w:cs="Arial"/>
          <w:b/>
          <w:color w:val="000000"/>
          <w:sz w:val="22"/>
          <w:szCs w:val="22"/>
        </w:rPr>
        <w:t>Verwendungsnachweis</w:t>
      </w:r>
    </w:p>
    <w:p w14:paraId="3CB3CD54" w14:textId="77777777" w:rsidR="003E1C67" w:rsidRDefault="00713FFC" w:rsidP="00713FFC">
      <w:pPr>
        <w:spacing w:line="240" w:lineRule="auto"/>
        <w:jc w:val="both"/>
        <w:rPr>
          <w:sz w:val="22"/>
          <w:szCs w:val="22"/>
        </w:rPr>
      </w:pPr>
      <w:r>
        <w:rPr>
          <w:rFonts w:cs="Arial"/>
          <w:color w:val="000000"/>
          <w:sz w:val="22"/>
          <w:szCs w:val="22"/>
        </w:rPr>
        <w:t>Die widmungsgemäße Verwendung der gewährten Förder</w:t>
      </w:r>
      <w:r w:rsidR="0026243D">
        <w:rPr>
          <w:rFonts w:cs="Arial"/>
          <w:color w:val="000000"/>
          <w:sz w:val="22"/>
          <w:szCs w:val="22"/>
        </w:rPr>
        <w:t>ung</w:t>
      </w:r>
      <w:r>
        <w:rPr>
          <w:rFonts w:cs="Arial"/>
          <w:color w:val="000000"/>
          <w:sz w:val="22"/>
          <w:szCs w:val="22"/>
        </w:rPr>
        <w:t xml:space="preserve"> </w:t>
      </w:r>
      <w:r w:rsidR="0026243D">
        <w:rPr>
          <w:rFonts w:cs="Arial"/>
          <w:color w:val="000000"/>
          <w:sz w:val="22"/>
          <w:szCs w:val="22"/>
        </w:rPr>
        <w:t xml:space="preserve">ist durch einen </w:t>
      </w:r>
      <w:r w:rsidRPr="00397B8F">
        <w:rPr>
          <w:rFonts w:cs="Arial"/>
          <w:color w:val="000000"/>
          <w:sz w:val="22"/>
          <w:szCs w:val="22"/>
          <w:u w:val="single"/>
        </w:rPr>
        <w:t xml:space="preserve">Schulbesuchsnachweis der Gastschule im </w:t>
      </w:r>
      <w:r w:rsidRPr="003E1C67">
        <w:rPr>
          <w:rFonts w:cs="Arial"/>
          <w:color w:val="000000"/>
          <w:sz w:val="22"/>
          <w:szCs w:val="22"/>
          <w:u w:val="single"/>
        </w:rPr>
        <w:t xml:space="preserve">Ausland innerhalb von </w:t>
      </w:r>
      <w:r w:rsidR="003E1C67">
        <w:rPr>
          <w:rFonts w:cs="Arial"/>
          <w:color w:val="000000"/>
          <w:sz w:val="22"/>
          <w:szCs w:val="22"/>
          <w:u w:val="single"/>
        </w:rPr>
        <w:t>2</w:t>
      </w:r>
      <w:r w:rsidRPr="003E1C67">
        <w:rPr>
          <w:rFonts w:cs="Arial"/>
          <w:color w:val="000000"/>
          <w:sz w:val="22"/>
          <w:szCs w:val="22"/>
          <w:u w:val="single"/>
        </w:rPr>
        <w:t xml:space="preserve"> Monaten nach Beendigung des Auslandsaufenthalts</w:t>
      </w:r>
      <w:r>
        <w:rPr>
          <w:rFonts w:cs="Arial"/>
          <w:color w:val="000000"/>
          <w:sz w:val="22"/>
          <w:szCs w:val="22"/>
        </w:rPr>
        <w:t xml:space="preserve"> </w:t>
      </w:r>
      <w:r w:rsidR="0026243D">
        <w:rPr>
          <w:rFonts w:cs="Arial"/>
          <w:color w:val="000000"/>
          <w:sz w:val="22"/>
          <w:szCs w:val="22"/>
        </w:rPr>
        <w:t>zu belegen</w:t>
      </w:r>
      <w:r>
        <w:rPr>
          <w:rFonts w:cs="Arial"/>
          <w:color w:val="000000"/>
          <w:sz w:val="22"/>
          <w:szCs w:val="22"/>
        </w:rPr>
        <w:t>. Der Verwendungsnachweis ist dem Landesjugendreferat per Post, E-</w:t>
      </w:r>
      <w:r>
        <w:rPr>
          <w:rFonts w:cs="Arial"/>
          <w:color w:val="000000"/>
          <w:sz w:val="22"/>
          <w:szCs w:val="22"/>
        </w:rPr>
        <w:lastRenderedPageBreak/>
        <w:t xml:space="preserve">Mail oder </w:t>
      </w:r>
      <w:r w:rsidR="0026243D">
        <w:rPr>
          <w:rFonts w:cs="Arial"/>
          <w:color w:val="000000"/>
          <w:sz w:val="22"/>
          <w:szCs w:val="22"/>
        </w:rPr>
        <w:t>via</w:t>
      </w:r>
      <w:r>
        <w:rPr>
          <w:rFonts w:cs="Arial"/>
          <w:color w:val="000000"/>
          <w:sz w:val="22"/>
          <w:szCs w:val="22"/>
        </w:rPr>
        <w:t xml:space="preserve"> Upload auf der Homepage </w:t>
      </w:r>
      <w:r w:rsidRPr="003E1C67">
        <w:rPr>
          <w:rFonts w:cs="Arial"/>
          <w:sz w:val="22"/>
          <w:szCs w:val="22"/>
        </w:rPr>
        <w:t>www.ljr.at</w:t>
      </w:r>
      <w:r>
        <w:rPr>
          <w:rFonts w:cs="Arial"/>
          <w:color w:val="000000"/>
          <w:sz w:val="22"/>
          <w:szCs w:val="22"/>
        </w:rPr>
        <w:t xml:space="preserve"> (</w:t>
      </w:r>
      <w:r>
        <w:rPr>
          <w:sz w:val="22"/>
          <w:szCs w:val="22"/>
        </w:rPr>
        <w:t>Förderungen / Förderungen des LJR / Schulbesuch im Ausland / Verwendungsnachweis) zu übermitteln.</w:t>
      </w:r>
      <w:r w:rsidR="003E1C67">
        <w:rPr>
          <w:sz w:val="22"/>
          <w:szCs w:val="22"/>
        </w:rPr>
        <w:t xml:space="preserve"> </w:t>
      </w:r>
    </w:p>
    <w:p w14:paraId="58D8EF0C" w14:textId="77777777" w:rsidR="003E1C67" w:rsidRDefault="003E1C67" w:rsidP="00713FFC">
      <w:pPr>
        <w:spacing w:line="240" w:lineRule="auto"/>
        <w:jc w:val="both"/>
        <w:rPr>
          <w:rFonts w:cs="Arial"/>
          <w:color w:val="000000"/>
          <w:sz w:val="22"/>
          <w:szCs w:val="22"/>
        </w:rPr>
      </w:pPr>
    </w:p>
    <w:p w14:paraId="15578FE8" w14:textId="77777777" w:rsidR="002C0D9D" w:rsidRPr="002C0D9D" w:rsidRDefault="002C0D9D" w:rsidP="002C0D9D">
      <w:pPr>
        <w:pStyle w:val="Listenabsatz"/>
        <w:numPr>
          <w:ilvl w:val="0"/>
          <w:numId w:val="1"/>
        </w:numPr>
        <w:ind w:left="336"/>
        <w:rPr>
          <w:b/>
          <w:sz w:val="22"/>
          <w:szCs w:val="22"/>
        </w:rPr>
      </w:pPr>
      <w:r w:rsidRPr="002C0D9D">
        <w:rPr>
          <w:b/>
          <w:sz w:val="22"/>
          <w:szCs w:val="22"/>
        </w:rPr>
        <w:t>Rechtsanspruch und Rückerstattung</w:t>
      </w:r>
    </w:p>
    <w:p w14:paraId="5B386403" w14:textId="77777777" w:rsidR="003E1C67" w:rsidRDefault="002C0D9D" w:rsidP="003E1C67">
      <w:pPr>
        <w:spacing w:line="240" w:lineRule="auto"/>
        <w:jc w:val="both"/>
        <w:rPr>
          <w:sz w:val="22"/>
          <w:szCs w:val="22"/>
        </w:rPr>
      </w:pPr>
      <w:r>
        <w:rPr>
          <w:sz w:val="22"/>
          <w:szCs w:val="22"/>
        </w:rPr>
        <w:t xml:space="preserve">Die Förderungsmaßnahmen kommen nach Maßgabe der vorhandenen finanziellen Mittel in Betracht. Ein Rechtsanspruch auf die Gewährung eine Förderung besteht nicht. </w:t>
      </w:r>
      <w:r w:rsidRPr="002C0D9D">
        <w:rPr>
          <w:sz w:val="22"/>
          <w:szCs w:val="22"/>
        </w:rPr>
        <w:t>Eine zu Unrecht bezogene</w:t>
      </w:r>
      <w:r w:rsidR="003E1C67">
        <w:rPr>
          <w:sz w:val="22"/>
          <w:szCs w:val="22"/>
        </w:rPr>
        <w:t xml:space="preserve"> oder </w:t>
      </w:r>
      <w:r w:rsidRPr="002C0D9D">
        <w:rPr>
          <w:sz w:val="22"/>
          <w:szCs w:val="22"/>
        </w:rPr>
        <w:t>nachweislich widmungswidrig verwendete Förderung ist zurück zu erstatten.</w:t>
      </w:r>
      <w:r w:rsidR="006C55C1">
        <w:rPr>
          <w:sz w:val="22"/>
          <w:szCs w:val="22"/>
        </w:rPr>
        <w:t xml:space="preserve"> </w:t>
      </w:r>
      <w:r w:rsidR="003E1C67">
        <w:rPr>
          <w:sz w:val="22"/>
          <w:szCs w:val="22"/>
        </w:rPr>
        <w:t>Eine trotz Urgenz innerhalb der vorgegebenen Frist weiteren Nichtvorlage des Schulbesuchsnachweises durch den Fördernehmer hat ebenfalls die Rückforderung des Förderbetrages zur Folge.</w:t>
      </w:r>
    </w:p>
    <w:p w14:paraId="1D61B1CA" w14:textId="77777777" w:rsidR="002C0D9D" w:rsidRDefault="002C0D9D" w:rsidP="002C0D9D">
      <w:pPr>
        <w:spacing w:line="240" w:lineRule="auto"/>
        <w:jc w:val="both"/>
        <w:rPr>
          <w:sz w:val="22"/>
          <w:szCs w:val="22"/>
        </w:rPr>
      </w:pPr>
    </w:p>
    <w:p w14:paraId="47EE5F09" w14:textId="77777777" w:rsidR="00CD0583" w:rsidRDefault="00CD0583" w:rsidP="00CD0583">
      <w:pPr>
        <w:spacing w:line="240" w:lineRule="auto"/>
        <w:jc w:val="both"/>
        <w:rPr>
          <w:sz w:val="22"/>
          <w:szCs w:val="22"/>
        </w:rPr>
      </w:pPr>
    </w:p>
    <w:p w14:paraId="1EC0AF24" w14:textId="77777777" w:rsidR="008A264D" w:rsidRDefault="008A264D" w:rsidP="00CD0583">
      <w:pPr>
        <w:spacing w:line="240" w:lineRule="auto"/>
        <w:jc w:val="both"/>
        <w:rPr>
          <w:sz w:val="22"/>
          <w:szCs w:val="22"/>
        </w:rPr>
      </w:pPr>
    </w:p>
    <w:p w14:paraId="610BCDDF" w14:textId="77777777" w:rsidR="00397B8F" w:rsidRDefault="00397B8F" w:rsidP="00CD0583">
      <w:pPr>
        <w:pStyle w:val="Listenabsatz"/>
        <w:numPr>
          <w:ilvl w:val="0"/>
          <w:numId w:val="6"/>
        </w:numPr>
        <w:ind w:left="336"/>
        <w:jc w:val="both"/>
        <w:rPr>
          <w:b/>
          <w:sz w:val="22"/>
          <w:szCs w:val="22"/>
        </w:rPr>
      </w:pPr>
      <w:r w:rsidRPr="00CD0583">
        <w:rPr>
          <w:b/>
          <w:sz w:val="22"/>
          <w:szCs w:val="22"/>
        </w:rPr>
        <w:t>Datenerfassung</w:t>
      </w:r>
    </w:p>
    <w:p w14:paraId="1CE5BD07" w14:textId="77777777" w:rsidR="00CD0583" w:rsidRDefault="00CD0583" w:rsidP="00CD0583">
      <w:pPr>
        <w:autoSpaceDE w:val="0"/>
        <w:autoSpaceDN w:val="0"/>
        <w:adjustRightInd w:val="0"/>
        <w:spacing w:after="120" w:line="240" w:lineRule="auto"/>
        <w:jc w:val="both"/>
        <w:rPr>
          <w:rFonts w:cs="Arial"/>
          <w:color w:val="000000"/>
          <w:sz w:val="22"/>
          <w:szCs w:val="22"/>
          <w:lang w:val="de-AT" w:eastAsia="de-AT"/>
        </w:rPr>
      </w:pPr>
      <w:bookmarkStart w:id="0" w:name="_Hlk83030991"/>
      <w:r>
        <w:rPr>
          <w:rFonts w:cs="Arial"/>
          <w:color w:val="000000"/>
          <w:sz w:val="22"/>
          <w:szCs w:val="22"/>
          <w:lang w:val="de-AT" w:eastAsia="de-AT"/>
        </w:rPr>
        <w:t>(1) Die Förderstelle ist berechtigt,</w:t>
      </w:r>
    </w:p>
    <w:p w14:paraId="3491874A" w14:textId="77777777" w:rsidR="00CD0583" w:rsidRDefault="00CD0583" w:rsidP="00CD0583">
      <w:pPr>
        <w:autoSpaceDE w:val="0"/>
        <w:autoSpaceDN w:val="0"/>
        <w:adjustRightInd w:val="0"/>
        <w:spacing w:after="120" w:line="240" w:lineRule="auto"/>
        <w:ind w:left="574" w:hanging="290"/>
        <w:jc w:val="both"/>
        <w:rPr>
          <w:rFonts w:cs="Arial"/>
          <w:color w:val="000000"/>
          <w:sz w:val="22"/>
          <w:szCs w:val="22"/>
          <w:lang w:val="de-AT" w:eastAsia="de-AT"/>
        </w:rPr>
      </w:pPr>
      <w:r>
        <w:rPr>
          <w:rFonts w:cs="Arial"/>
          <w:color w:val="000000"/>
          <w:sz w:val="22"/>
          <w:szCs w:val="22"/>
          <w:lang w:val="de-AT"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14:paraId="4E00023D" w14:textId="77777777" w:rsidR="00CD0583" w:rsidRDefault="00CD0583" w:rsidP="00CD0583">
      <w:pPr>
        <w:autoSpaceDE w:val="0"/>
        <w:autoSpaceDN w:val="0"/>
        <w:adjustRightInd w:val="0"/>
        <w:spacing w:after="120" w:line="240" w:lineRule="auto"/>
        <w:ind w:left="574" w:hanging="290"/>
        <w:jc w:val="both"/>
        <w:rPr>
          <w:rFonts w:cs="Arial"/>
          <w:color w:val="000000"/>
          <w:sz w:val="22"/>
          <w:szCs w:val="22"/>
          <w:lang w:val="de-AT" w:eastAsia="de-AT"/>
        </w:rPr>
      </w:pPr>
      <w:r>
        <w:rPr>
          <w:rFonts w:cs="Arial"/>
          <w:color w:val="000000"/>
          <w:sz w:val="22"/>
          <w:szCs w:val="22"/>
          <w:lang w:val="de-AT"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14:paraId="7162CEA0" w14:textId="77777777" w:rsidR="00CD0583" w:rsidRDefault="00CD0583" w:rsidP="00CD0583">
      <w:pPr>
        <w:autoSpaceDE w:val="0"/>
        <w:autoSpaceDN w:val="0"/>
        <w:adjustRightInd w:val="0"/>
        <w:spacing w:after="240" w:line="240" w:lineRule="auto"/>
        <w:ind w:left="574" w:hanging="290"/>
        <w:jc w:val="both"/>
        <w:rPr>
          <w:rFonts w:cs="Arial"/>
          <w:color w:val="000000"/>
          <w:sz w:val="22"/>
          <w:szCs w:val="22"/>
          <w:lang w:val="de-AT" w:eastAsia="de-AT"/>
        </w:rPr>
      </w:pPr>
      <w:r>
        <w:rPr>
          <w:rFonts w:cs="Arial"/>
          <w:color w:val="000000"/>
          <w:sz w:val="22"/>
          <w:szCs w:val="22"/>
          <w:lang w:val="de-AT"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14:paraId="769DC29D" w14:textId="77777777" w:rsidR="00CD0583" w:rsidRDefault="00CD0583" w:rsidP="00CD0583">
      <w:pPr>
        <w:pStyle w:val="Listenabsatz"/>
        <w:autoSpaceDE w:val="0"/>
        <w:autoSpaceDN w:val="0"/>
        <w:adjustRightInd w:val="0"/>
        <w:spacing w:line="240" w:lineRule="auto"/>
        <w:ind w:left="448" w:hanging="354"/>
        <w:jc w:val="both"/>
        <w:rPr>
          <w:rFonts w:cs="Arial"/>
          <w:color w:val="000000"/>
          <w:sz w:val="22"/>
          <w:szCs w:val="22"/>
          <w:lang w:val="de-AT" w:eastAsia="de-AT"/>
        </w:rPr>
      </w:pPr>
      <w:r>
        <w:rPr>
          <w:rFonts w:cs="Arial"/>
          <w:color w:val="000000"/>
          <w:sz w:val="22"/>
          <w:szCs w:val="22"/>
          <w:lang w:val="de-AT" w:eastAsia="de-AT"/>
        </w:rPr>
        <w:t>(2) Die Fördernehmerin/Der Fördernehmer hat dafür zu sorgen, dass für die übermittelten Daten Dritter die entsprechenden Einwilligungen bezüglich Daten- und Persönlichkeitsschutz eingeholt werden.</w:t>
      </w:r>
    </w:p>
    <w:p w14:paraId="1D3FEFDB" w14:textId="77777777" w:rsidR="002C78A4" w:rsidRDefault="002C78A4" w:rsidP="00CD0583">
      <w:pPr>
        <w:pStyle w:val="Listenabsatz"/>
        <w:autoSpaceDE w:val="0"/>
        <w:autoSpaceDN w:val="0"/>
        <w:adjustRightInd w:val="0"/>
        <w:spacing w:line="240" w:lineRule="auto"/>
        <w:ind w:left="448" w:hanging="354"/>
        <w:jc w:val="both"/>
        <w:rPr>
          <w:b/>
          <w:sz w:val="22"/>
          <w:szCs w:val="22"/>
        </w:rPr>
      </w:pPr>
    </w:p>
    <w:p w14:paraId="38E170E9" w14:textId="77777777" w:rsidR="002C78A4" w:rsidRDefault="002C78A4" w:rsidP="00CD0583">
      <w:pPr>
        <w:pStyle w:val="Listenabsatz"/>
        <w:autoSpaceDE w:val="0"/>
        <w:autoSpaceDN w:val="0"/>
        <w:adjustRightInd w:val="0"/>
        <w:spacing w:line="240" w:lineRule="auto"/>
        <w:ind w:left="448" w:hanging="354"/>
        <w:jc w:val="both"/>
        <w:rPr>
          <w:b/>
          <w:sz w:val="22"/>
          <w:szCs w:val="22"/>
        </w:rPr>
      </w:pPr>
    </w:p>
    <w:p w14:paraId="3BB57801" w14:textId="77777777" w:rsidR="002C78A4" w:rsidRPr="008A2EFB" w:rsidRDefault="002C78A4" w:rsidP="002C78A4">
      <w:pPr>
        <w:spacing w:after="40"/>
        <w:jc w:val="both"/>
        <w:rPr>
          <w:sz w:val="22"/>
          <w:szCs w:val="22"/>
        </w:rPr>
      </w:pPr>
      <w:r>
        <w:rPr>
          <w:sz w:val="22"/>
          <w:szCs w:val="22"/>
        </w:rPr>
        <w:t>Mit dem</w:t>
      </w:r>
      <w:r w:rsidRPr="008A2EFB">
        <w:rPr>
          <w:sz w:val="22"/>
          <w:szCs w:val="22"/>
        </w:rPr>
        <w:t xml:space="preserve"> Ansuchen ist verbindlich zu erklären, dass</w:t>
      </w:r>
    </w:p>
    <w:p w14:paraId="3BC9A4A4" w14:textId="77777777" w:rsidR="002C78A4" w:rsidRPr="008A2EFB" w:rsidRDefault="002C78A4" w:rsidP="002C78A4">
      <w:pPr>
        <w:pStyle w:val="Listenabsatz"/>
        <w:numPr>
          <w:ilvl w:val="0"/>
          <w:numId w:val="7"/>
        </w:numPr>
        <w:spacing w:after="40" w:line="259" w:lineRule="auto"/>
        <w:ind w:left="1066" w:hanging="357"/>
        <w:contextualSpacing w:val="0"/>
        <w:jc w:val="both"/>
        <w:rPr>
          <w:sz w:val="22"/>
          <w:szCs w:val="22"/>
        </w:rPr>
      </w:pPr>
      <w:r w:rsidRPr="008A2EFB">
        <w:rPr>
          <w:sz w:val="22"/>
          <w:szCs w:val="22"/>
        </w:rPr>
        <w:t>diese Richtlinie anerkannt wird;</w:t>
      </w:r>
    </w:p>
    <w:p w14:paraId="41BDFF18" w14:textId="77777777" w:rsidR="002C78A4" w:rsidRPr="008A2EFB" w:rsidRDefault="002C78A4" w:rsidP="002C78A4">
      <w:pPr>
        <w:pStyle w:val="Listenabsatz"/>
        <w:numPr>
          <w:ilvl w:val="0"/>
          <w:numId w:val="7"/>
        </w:numPr>
        <w:spacing w:after="40" w:line="259" w:lineRule="auto"/>
        <w:ind w:left="1066" w:hanging="357"/>
        <w:contextualSpacing w:val="0"/>
        <w:jc w:val="both"/>
        <w:rPr>
          <w:sz w:val="22"/>
          <w:szCs w:val="22"/>
        </w:rPr>
      </w:pPr>
      <w:r w:rsidRPr="008A2EFB">
        <w:rPr>
          <w:sz w:val="22"/>
          <w:szCs w:val="22"/>
        </w:rPr>
        <w:t>sofern in dieser Richtlinie nicht anders definiert, die allgemeinen Förderbestimmungen des Landes zu Jugendförderungen anerkannt werden;</w:t>
      </w:r>
    </w:p>
    <w:p w14:paraId="30F01B8E" w14:textId="77777777" w:rsidR="002C78A4" w:rsidRPr="008A2EFB" w:rsidRDefault="002C78A4" w:rsidP="002C78A4">
      <w:pPr>
        <w:pStyle w:val="Listenabsatz"/>
        <w:numPr>
          <w:ilvl w:val="0"/>
          <w:numId w:val="7"/>
        </w:numPr>
        <w:spacing w:after="40" w:line="259" w:lineRule="auto"/>
        <w:jc w:val="both"/>
        <w:rPr>
          <w:sz w:val="22"/>
          <w:szCs w:val="22"/>
        </w:rPr>
      </w:pPr>
      <w:bookmarkStart w:id="1" w:name="_Hlk65572456"/>
      <w:r w:rsidRPr="008A2EFB">
        <w:rPr>
          <w:sz w:val="22"/>
          <w:szCs w:val="22"/>
        </w:rPr>
        <w:t>die Bestimmungen des Datenschutzgesetzes und der Datenschutz-Grundverordnung eingehalten werden.</w:t>
      </w:r>
      <w:bookmarkEnd w:id="1"/>
    </w:p>
    <w:p w14:paraId="065DD647" w14:textId="77777777" w:rsidR="002C78A4" w:rsidRDefault="002C78A4" w:rsidP="00CD0583">
      <w:pPr>
        <w:pStyle w:val="Listenabsatz"/>
        <w:autoSpaceDE w:val="0"/>
        <w:autoSpaceDN w:val="0"/>
        <w:adjustRightInd w:val="0"/>
        <w:spacing w:line="240" w:lineRule="auto"/>
        <w:ind w:left="448" w:hanging="354"/>
        <w:jc w:val="both"/>
        <w:rPr>
          <w:b/>
          <w:sz w:val="22"/>
          <w:szCs w:val="22"/>
        </w:rPr>
      </w:pPr>
    </w:p>
    <w:p w14:paraId="58F22467" w14:textId="77777777" w:rsidR="008A264D" w:rsidRPr="00CE01D7" w:rsidRDefault="008A264D" w:rsidP="00CD0583">
      <w:pPr>
        <w:pStyle w:val="Listenabsatz"/>
        <w:autoSpaceDE w:val="0"/>
        <w:autoSpaceDN w:val="0"/>
        <w:adjustRightInd w:val="0"/>
        <w:spacing w:line="240" w:lineRule="auto"/>
        <w:ind w:left="448" w:hanging="354"/>
        <w:jc w:val="both"/>
        <w:rPr>
          <w:b/>
          <w:sz w:val="22"/>
          <w:szCs w:val="22"/>
        </w:rPr>
      </w:pPr>
    </w:p>
    <w:bookmarkEnd w:id="0"/>
    <w:p w14:paraId="5C6B6F9D" w14:textId="77777777" w:rsidR="00CD0583" w:rsidRPr="00CD0583" w:rsidRDefault="00CD0583" w:rsidP="00CD0583">
      <w:pPr>
        <w:pStyle w:val="Listenabsatz"/>
        <w:spacing w:line="240" w:lineRule="auto"/>
        <w:jc w:val="both"/>
        <w:rPr>
          <w:b/>
          <w:sz w:val="22"/>
          <w:szCs w:val="22"/>
        </w:rPr>
      </w:pPr>
    </w:p>
    <w:p w14:paraId="20A5BEF7" w14:textId="77777777" w:rsidR="00397B8F" w:rsidRPr="00C16DDA" w:rsidRDefault="00397B8F" w:rsidP="00C16DDA">
      <w:pPr>
        <w:pStyle w:val="Listenabsatz"/>
        <w:numPr>
          <w:ilvl w:val="0"/>
          <w:numId w:val="6"/>
        </w:numPr>
        <w:autoSpaceDE w:val="0"/>
        <w:autoSpaceDN w:val="0"/>
        <w:adjustRightInd w:val="0"/>
        <w:spacing w:line="240" w:lineRule="auto"/>
        <w:ind w:left="350"/>
        <w:rPr>
          <w:b/>
          <w:sz w:val="22"/>
          <w:szCs w:val="22"/>
        </w:rPr>
      </w:pPr>
      <w:r w:rsidRPr="00C16DDA">
        <w:rPr>
          <w:b/>
          <w:sz w:val="22"/>
          <w:szCs w:val="22"/>
        </w:rPr>
        <w:t>Inkrafttreten</w:t>
      </w:r>
    </w:p>
    <w:p w14:paraId="119BD6E9" w14:textId="77777777" w:rsidR="005D203C" w:rsidRDefault="00397B8F" w:rsidP="004F0847">
      <w:pPr>
        <w:spacing w:before="120" w:line="240" w:lineRule="auto"/>
        <w:ind w:right="284"/>
        <w:jc w:val="both"/>
        <w:rPr>
          <w:sz w:val="22"/>
          <w:szCs w:val="22"/>
        </w:rPr>
      </w:pPr>
      <w:r w:rsidRPr="00397B8F">
        <w:rPr>
          <w:sz w:val="22"/>
          <w:szCs w:val="22"/>
        </w:rPr>
        <w:t>Diese Richtlinien treten</w:t>
      </w:r>
      <w:r w:rsidR="008A2EFB">
        <w:rPr>
          <w:sz w:val="22"/>
          <w:szCs w:val="22"/>
        </w:rPr>
        <w:t xml:space="preserve"> </w:t>
      </w:r>
      <w:r w:rsidRPr="00397B8F">
        <w:rPr>
          <w:sz w:val="22"/>
          <w:szCs w:val="22"/>
        </w:rPr>
        <w:t xml:space="preserve">mit </w:t>
      </w:r>
      <w:r w:rsidR="008A264D">
        <w:rPr>
          <w:sz w:val="22"/>
          <w:szCs w:val="22"/>
        </w:rPr>
        <w:t>01.12.2022</w:t>
      </w:r>
      <w:r w:rsidR="00C16DDA">
        <w:rPr>
          <w:sz w:val="22"/>
          <w:szCs w:val="22"/>
        </w:rPr>
        <w:t xml:space="preserve"> </w:t>
      </w:r>
      <w:r w:rsidRPr="00397B8F">
        <w:rPr>
          <w:sz w:val="22"/>
          <w:szCs w:val="22"/>
        </w:rPr>
        <w:t>in Kraft.</w:t>
      </w:r>
    </w:p>
    <w:p w14:paraId="22905F92" w14:textId="77777777" w:rsidR="00CD0583" w:rsidRDefault="00CD0583" w:rsidP="00CD0583">
      <w:pPr>
        <w:spacing w:line="240" w:lineRule="auto"/>
        <w:jc w:val="both"/>
        <w:rPr>
          <w:sz w:val="22"/>
          <w:szCs w:val="22"/>
        </w:rPr>
      </w:pPr>
    </w:p>
    <w:p w14:paraId="17AF1CFD" w14:textId="77777777" w:rsidR="005D203C" w:rsidRPr="00E5414F" w:rsidRDefault="005D203C" w:rsidP="005D203C"/>
    <w:sectPr w:rsidR="005D203C" w:rsidRPr="00E5414F" w:rsidSect="004F0847">
      <w:pgSz w:w="11906" w:h="16838"/>
      <w:pgMar w:top="1276" w:right="1274"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BE62" w14:textId="77777777" w:rsidR="00F67C46" w:rsidRDefault="00F67C46" w:rsidP="00F67C46">
      <w:pPr>
        <w:spacing w:line="240" w:lineRule="auto"/>
      </w:pPr>
      <w:r>
        <w:separator/>
      </w:r>
    </w:p>
  </w:endnote>
  <w:endnote w:type="continuationSeparator" w:id="0">
    <w:p w14:paraId="2107269F" w14:textId="77777777" w:rsidR="00F67C46" w:rsidRDefault="00F67C46" w:rsidP="00F6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B2F" w14:textId="77777777" w:rsidR="00F67C46" w:rsidRDefault="00F67C46" w:rsidP="00F67C46">
      <w:pPr>
        <w:spacing w:line="240" w:lineRule="auto"/>
      </w:pPr>
      <w:r>
        <w:separator/>
      </w:r>
    </w:p>
  </w:footnote>
  <w:footnote w:type="continuationSeparator" w:id="0">
    <w:p w14:paraId="1986AFFC" w14:textId="77777777" w:rsidR="00F67C46" w:rsidRDefault="00F67C46" w:rsidP="00F67C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A495250"/>
    <w:multiLevelType w:val="hybridMultilevel"/>
    <w:tmpl w:val="40404F98"/>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59544D1"/>
    <w:multiLevelType w:val="hybridMultilevel"/>
    <w:tmpl w:val="5B9CE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AD7D6F"/>
    <w:multiLevelType w:val="hybridMultilevel"/>
    <w:tmpl w:val="D5EC4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5"/>
    <w:rsid w:val="000E5F24"/>
    <w:rsid w:val="001145B3"/>
    <w:rsid w:val="002521D2"/>
    <w:rsid w:val="0026243D"/>
    <w:rsid w:val="0029756E"/>
    <w:rsid w:val="002C0D9D"/>
    <w:rsid w:val="002C78A4"/>
    <w:rsid w:val="00302B16"/>
    <w:rsid w:val="00353D08"/>
    <w:rsid w:val="00397B8F"/>
    <w:rsid w:val="003A3FC9"/>
    <w:rsid w:val="003E1C67"/>
    <w:rsid w:val="004A5CDF"/>
    <w:rsid w:val="004F0847"/>
    <w:rsid w:val="004F7445"/>
    <w:rsid w:val="00513B94"/>
    <w:rsid w:val="00560F8A"/>
    <w:rsid w:val="005A2093"/>
    <w:rsid w:val="005A725C"/>
    <w:rsid w:val="005D203C"/>
    <w:rsid w:val="0061136F"/>
    <w:rsid w:val="00614A2F"/>
    <w:rsid w:val="006C1598"/>
    <w:rsid w:val="006C55C1"/>
    <w:rsid w:val="006D5DE5"/>
    <w:rsid w:val="00711711"/>
    <w:rsid w:val="00713FFC"/>
    <w:rsid w:val="00740783"/>
    <w:rsid w:val="00785382"/>
    <w:rsid w:val="008A264D"/>
    <w:rsid w:val="008A2EFB"/>
    <w:rsid w:val="009B1E3C"/>
    <w:rsid w:val="00A91058"/>
    <w:rsid w:val="00B07925"/>
    <w:rsid w:val="00B91401"/>
    <w:rsid w:val="00C01A03"/>
    <w:rsid w:val="00C16DDA"/>
    <w:rsid w:val="00C3337B"/>
    <w:rsid w:val="00C47D86"/>
    <w:rsid w:val="00C85A01"/>
    <w:rsid w:val="00C92255"/>
    <w:rsid w:val="00CD0583"/>
    <w:rsid w:val="00CD509B"/>
    <w:rsid w:val="00E01E73"/>
    <w:rsid w:val="00E5414F"/>
    <w:rsid w:val="00E70F89"/>
    <w:rsid w:val="00EA4668"/>
    <w:rsid w:val="00EE3BE3"/>
    <w:rsid w:val="00EF70A7"/>
    <w:rsid w:val="00F2194E"/>
    <w:rsid w:val="00F67C46"/>
    <w:rsid w:val="00FA01CA"/>
    <w:rsid w:val="00FB7F65"/>
    <w:rsid w:val="00FF2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35BD"/>
  <w15:chartTrackingRefBased/>
  <w15:docId w15:val="{6946545C-7CF6-4017-B531-A3B1ADC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C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7C46"/>
    <w:rPr>
      <w:rFonts w:ascii="Arial" w:hAnsi="Arial"/>
      <w:sz w:val="24"/>
      <w:lang w:val="de-DE" w:eastAsia="de-DE"/>
    </w:rPr>
  </w:style>
  <w:style w:type="paragraph" w:styleId="Fuzeile">
    <w:name w:val="footer"/>
    <w:basedOn w:val="Standard"/>
    <w:link w:val="FuzeileZchn"/>
    <w:uiPriority w:val="99"/>
    <w:unhideWhenUsed/>
    <w:rsid w:val="00F67C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C46"/>
    <w:rPr>
      <w:rFonts w:ascii="Arial" w:hAnsi="Arial"/>
      <w:sz w:val="24"/>
      <w:lang w:val="de-DE" w:eastAsia="de-DE"/>
    </w:rPr>
  </w:style>
  <w:style w:type="paragraph" w:customStyle="1" w:styleId="Absender2Z">
    <w:name w:val="Absender2Z"/>
    <w:aliases w:val="Abteilung"/>
    <w:basedOn w:val="Standard"/>
    <w:uiPriority w:val="19"/>
    <w:qFormat/>
    <w:rsid w:val="00F67C46"/>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F67C46"/>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F67C46"/>
    <w:rPr>
      <w:b/>
    </w:rPr>
  </w:style>
  <w:style w:type="paragraph" w:customStyle="1" w:styleId="Absender3Z">
    <w:name w:val="Absender3Z"/>
    <w:aliases w:val="HReferat"/>
    <w:uiPriority w:val="19"/>
    <w:qFormat/>
    <w:rsid w:val="00F67C46"/>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F67C46"/>
    <w:pPr>
      <w:ind w:left="720"/>
      <w:contextualSpacing/>
    </w:pPr>
  </w:style>
  <w:style w:type="character" w:styleId="Hyperlink">
    <w:name w:val="Hyperlink"/>
    <w:basedOn w:val="Absatz-Standardschriftart"/>
    <w:uiPriority w:val="99"/>
    <w:unhideWhenUsed/>
    <w:rsid w:val="00C47D86"/>
    <w:rPr>
      <w:color w:val="0000FF" w:themeColor="hyperlink"/>
      <w:u w:val="single"/>
    </w:rPr>
  </w:style>
  <w:style w:type="character" w:styleId="NichtaufgelsteErwhnung">
    <w:name w:val="Unresolved Mention"/>
    <w:basedOn w:val="Absatz-Standardschriftart"/>
    <w:uiPriority w:val="99"/>
    <w:semiHidden/>
    <w:unhideWhenUsed/>
    <w:rsid w:val="0011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Radax Yvonne</dc:creator>
  <cp:keywords/>
  <dc:description/>
  <cp:lastModifiedBy>Radax Yvonne</cp:lastModifiedBy>
  <cp:revision>30</cp:revision>
  <cp:lastPrinted>2022-10-06T08:38:00Z</cp:lastPrinted>
  <dcterms:created xsi:type="dcterms:W3CDTF">2021-03-22T08:34:00Z</dcterms:created>
  <dcterms:modified xsi:type="dcterms:W3CDTF">2023-09-21T11:02:00Z</dcterms:modified>
</cp:coreProperties>
</file>